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Procedure de gestion des incidents IA</w:t>
      </w:r>
    </w:p>
    <w:p>
      <w:pPr>
        <w:spacing w:after="600"/>
        <w:jc w:val="center"/>
      </w:pPr>
      <w:r>
        <w:rPr>
          <w:rFonts w:ascii="Arial" w:cs="Arial" w:eastAsia="Arial" w:hAnsi="Arial"/>
          <w:color w:val="2E75B6"/>
          <w:sz w:val="24"/>
          <w:szCs w:val="24"/>
        </w:rPr>
        <w:t xml:space="preserve">Detection, signalement, classification, investigation, resolution et post-mortem. conformité Loi 25</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Introduction</w:t>
      </w:r>
    </w:p>
    <w:p>
      <w:r>
        <w:rPr>
          <w:rFonts w:ascii="Arial" w:cs="Arial" w:eastAsia="Arial" w:hAnsi="Arial"/>
          <w:color w:val="404040"/>
          <w:sz w:val="22"/>
          <w:szCs w:val="22"/>
        </w:rPr>
        <w:t xml:space="preserve">Une procedure claire de gestion des incidents IA permet une detection rapide, une investigation efficace et une resolution appropriee. Elle s'aligné avec les obligations de notification de la Loi 25 (incidents de confidentialité).</w:t>
      </w:r>
    </w:p>
    <w:p>
      <w:pPr>
        <w:pStyle w:val="Heading2"/>
      </w:pPr>
      <w:r>
        <w:t xml:space="preserve">principes directeurs</w:t>
      </w:r>
    </w:p>
    <w:p>
      <w:pPr>
        <w:pStyle w:val="ListParagraph"/>
        <w:numPr>
          <w:ilvl w:val="0"/>
          <w:numId w:val="2"/>
        </w:numPr>
      </w:pPr>
      <w:r>
        <w:rPr>
          <w:rFonts w:ascii="Arial" w:cs="Arial" w:eastAsia="Arial" w:hAnsi="Arial"/>
          <w:color w:val="404040"/>
          <w:sz w:val="22"/>
          <w:szCs w:val="22"/>
        </w:rPr>
        <w:t xml:space="preserve">Transparence : Documenter tous les faits et découverte</w:t>
      </w:r>
    </w:p>
    <w:p>
      <w:pPr>
        <w:pStyle w:val="ListParagraph"/>
        <w:numPr>
          <w:ilvl w:val="0"/>
          <w:numId w:val="2"/>
        </w:numPr>
      </w:pPr>
      <w:r>
        <w:rPr>
          <w:rFonts w:ascii="Arial" w:cs="Arial" w:eastAsia="Arial" w:hAnsi="Arial"/>
          <w:color w:val="404040"/>
          <w:sz w:val="22"/>
          <w:szCs w:val="22"/>
        </w:rPr>
        <w:t xml:space="preserve">Rapidite : Minimiser le temps entre detection et resolution</w:t>
      </w:r>
    </w:p>
    <w:p>
      <w:pPr>
        <w:pStyle w:val="ListParagraph"/>
        <w:numPr>
          <w:ilvl w:val="0"/>
          <w:numId w:val="2"/>
        </w:numPr>
      </w:pPr>
      <w:r>
        <w:rPr>
          <w:rFonts w:ascii="Arial" w:cs="Arial" w:eastAsia="Arial" w:hAnsi="Arial"/>
          <w:color w:val="404040"/>
          <w:sz w:val="22"/>
          <w:szCs w:val="22"/>
        </w:rPr>
        <w:t xml:space="preserve">conformité : Satisfaire les obligations légales de notification (Loi 25)</w:t>
      </w:r>
    </w:p>
    <w:p>
      <w:pPr>
        <w:pStyle w:val="ListParagraph"/>
        <w:numPr>
          <w:ilvl w:val="0"/>
          <w:numId w:val="2"/>
        </w:numPr>
      </w:pPr>
      <w:r>
        <w:rPr>
          <w:rFonts w:ascii="Arial" w:cs="Arial" w:eastAsia="Arial" w:hAnsi="Arial"/>
          <w:color w:val="404040"/>
          <w:sz w:val="22"/>
          <w:szCs w:val="22"/>
        </w:rPr>
        <w:t xml:space="preserve">Prevention : Identifier les causes racines pour eviter recurrence</w:t>
      </w:r>
    </w:p>
    <w:p>
      <w:pPr>
        <w:pStyle w:val="ListParagraph"/>
        <w:numPr>
          <w:ilvl w:val="0"/>
          <w:numId w:val="2"/>
        </w:numPr>
      </w:pPr>
      <w:r>
        <w:rPr>
          <w:rFonts w:ascii="Arial" w:cs="Arial" w:eastAsia="Arial" w:hAnsi="Arial"/>
          <w:color w:val="404040"/>
          <w:sz w:val="22"/>
          <w:szCs w:val="22"/>
        </w:rPr>
        <w:t xml:space="preserve">Communication : Informer les parties prenantes appropriees</w:t>
      </w:r>
    </w:p>
    <w:p>
      <w:pPr>
        <w:spacing w:before="200"/>
      </w:pPr>
    </w:p>
    <w:p>
      <w:pPr>
        <w:pStyle w:val="Heading1"/>
      </w:pPr>
      <w:r>
        <w:t xml:space="preserve">Definition d'un incident IA</w:t>
      </w:r>
    </w:p>
    <w:p>
      <w:r>
        <w:rPr>
          <w:rFonts w:ascii="Arial" w:cs="Arial" w:eastAsia="Arial" w:hAnsi="Arial"/>
          <w:color w:val="404040"/>
          <w:sz w:val="22"/>
          <w:szCs w:val="22"/>
        </w:rPr>
        <w:t xml:space="preserve">Un incident IA est un evenement non intentionnel ou non prevu qui :</w:t>
      </w:r>
    </w:p>
    <w:p>
      <w:pPr>
        <w:pStyle w:val="ListParagraph"/>
        <w:numPr>
          <w:ilvl w:val="0"/>
          <w:numId w:val="2"/>
        </w:numPr>
      </w:pPr>
      <w:r>
        <w:rPr>
          <w:rFonts w:ascii="Arial" w:cs="Arial" w:eastAsia="Arial" w:hAnsi="Arial"/>
          <w:color w:val="404040"/>
          <w:sz w:val="22"/>
          <w:szCs w:val="22"/>
        </w:rPr>
        <w:t xml:space="preserve">Cause une deviation importante de la performance attendue du système IA</w:t>
      </w:r>
    </w:p>
    <w:p>
      <w:pPr>
        <w:pStyle w:val="ListParagraph"/>
        <w:numPr>
          <w:ilvl w:val="0"/>
          <w:numId w:val="2"/>
        </w:numPr>
      </w:pPr>
      <w:r>
        <w:rPr>
          <w:rFonts w:ascii="Arial" w:cs="Arial" w:eastAsia="Arial" w:hAnsi="Arial"/>
          <w:color w:val="404040"/>
          <w:sz w:val="22"/>
          <w:szCs w:val="22"/>
        </w:rPr>
        <w:t xml:space="preserve">Resulte en une décision incorrecte, discriminatoire ou prejudiciable</w:t>
      </w:r>
    </w:p>
    <w:p>
      <w:pPr>
        <w:pStyle w:val="ListParagraph"/>
        <w:numPr>
          <w:ilvl w:val="0"/>
          <w:numId w:val="2"/>
        </w:numPr>
      </w:pPr>
      <w:r>
        <w:rPr>
          <w:rFonts w:ascii="Arial" w:cs="Arial" w:eastAsia="Arial" w:hAnsi="Arial"/>
          <w:color w:val="404040"/>
          <w:sz w:val="22"/>
          <w:szCs w:val="22"/>
        </w:rPr>
        <w:t xml:space="preserve">Expose ou divulgue des données personnelles ou sensibles</w:t>
      </w:r>
    </w:p>
    <w:p>
      <w:pPr>
        <w:pStyle w:val="ListParagraph"/>
        <w:numPr>
          <w:ilvl w:val="0"/>
          <w:numId w:val="2"/>
        </w:numPr>
      </w:pPr>
      <w:r>
        <w:rPr>
          <w:rFonts w:ascii="Arial" w:cs="Arial" w:eastAsia="Arial" w:hAnsi="Arial"/>
          <w:color w:val="404040"/>
          <w:sz w:val="22"/>
          <w:szCs w:val="22"/>
        </w:rPr>
        <w:t xml:space="preserve">Compromet la sécurité, l'intégrité ou la disponibilité du système</w:t>
      </w:r>
    </w:p>
    <w:p>
      <w:pPr>
        <w:pStyle w:val="ListParagraph"/>
        <w:numPr>
          <w:ilvl w:val="0"/>
          <w:numId w:val="2"/>
        </w:numPr>
      </w:pPr>
      <w:r>
        <w:rPr>
          <w:rFonts w:ascii="Arial" w:cs="Arial" w:eastAsia="Arial" w:hAnsi="Arial"/>
          <w:color w:val="404040"/>
          <w:sz w:val="22"/>
          <w:szCs w:val="22"/>
        </w:rPr>
        <w:t xml:space="preserve">Viole une exigence réglementaire ou une politique organisationnelle</w:t>
      </w:r>
    </w:p>
    <w:p>
      <w:r>
        <w:rPr>
          <w:rFonts w:ascii="Arial" w:cs="Arial" w:eastAsia="Arial" w:hAnsi="Arial"/>
          <w:color w:val="404040"/>
          <w:sz w:val="22"/>
          <w:szCs w:val="22"/>
        </w:rPr>
        <w:t xml:space="preserve">Les incidents mineurs (degradation &lt; 5%, corriges en &lt; 30 minutes) peuvent être documentes sans escalade formelle, mais tous les incidents doivent être signales au responsable IA.</w:t>
      </w:r>
    </w:p>
    <w:p>
      <w:pPr>
        <w:spacing w:before="200"/>
      </w:pPr>
    </w:p>
    <w:p>
      <w:pPr>
        <w:pStyle w:val="Heading1"/>
      </w:pPr>
      <w:r>
        <w:t xml:space="preserve">Classification des incidents</w:t>
      </w:r>
    </w:p>
    <w:p>
      <w:r>
        <w:rPr>
          <w:rFonts w:ascii="Arial" w:cs="Arial" w:eastAsia="Arial" w:hAnsi="Arial"/>
          <w:color w:val="404040"/>
          <w:sz w:val="22"/>
          <w:szCs w:val="22"/>
        </w:rPr>
        <w:t xml:space="preserve">Chaque incident est classifie selon sa severite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000"/>
        <w:gridCol w:w="1760"/>
        <w:gridCol w:w="14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Severite</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Criteres</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exemple</w:t>
            </w:r>
          </w:p>
        </w:tc>
        <w:tc>
          <w:tcPr>
            <w:tcW w:type="dxa" w:w="1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Escalade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Délai cible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critique (P1)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large, données personnelles divulguees, ou decisions massivment incorrectes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 de données de 10000+ clients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 + Comite crise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1 heure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Majeure (P2)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modere, quelques personnes affectees ou decisions incorrectes recurrentes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detectable affectant 1% des decisions</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4 heures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Modéree (P3)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limite, resolu rapidement ou affectant peu de personnes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Degagement temporaire de performance</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technique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 heures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Mineure (P4)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Impact negligeable ou entierement contenu</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Alerte faux positif</w:t>
            </w:r>
          </w:p>
        </w:tc>
        <w:tc>
          <w:tcPr>
            <w:tcW w:type="dxa" w:w="1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seule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5 jours</w:t>
            </w:r>
          </w:p>
        </w:tc>
      </w:tr>
    </w:tbl>
    <w:p>
      <w:pPr>
        <w:spacing w:before="200"/>
      </w:pPr>
    </w:p>
    <w:p>
      <w:pPr>
        <w:pStyle w:val="Heading1"/>
      </w:pPr>
      <w:r>
        <w:t xml:space="preserve">processus de gestion des incidents</w:t>
      </w:r>
    </w:p>
    <w:p>
      <w:pPr>
        <w:pStyle w:val="Heading2"/>
      </w:pPr>
      <w:r>
        <w:t xml:space="preserve">Phase 1 - Detection et signalement</w:t>
      </w:r>
    </w:p>
    <w:p>
      <w:r>
        <w:rPr>
          <w:rFonts w:ascii="Arial" w:cs="Arial" w:eastAsia="Arial" w:hAnsi="Arial"/>
          <w:color w:val="404040"/>
          <w:sz w:val="22"/>
          <w:szCs w:val="22"/>
        </w:rPr>
        <w:t xml:space="preserve">Les incidents peuvent être détectés par :</w:t>
      </w:r>
    </w:p>
    <w:p>
      <w:pPr>
        <w:pStyle w:val="ListParagraph"/>
        <w:numPr>
          <w:ilvl w:val="0"/>
          <w:numId w:val="2"/>
        </w:numPr>
      </w:pPr>
      <w:r>
        <w:rPr>
          <w:rFonts w:ascii="Arial" w:cs="Arial" w:eastAsia="Arial" w:hAnsi="Arial"/>
          <w:color w:val="404040"/>
          <w:sz w:val="22"/>
          <w:szCs w:val="22"/>
        </w:rPr>
        <w:t xml:space="preserve">Monitoring automatique et alertes sur les metriques critiques</w:t>
      </w:r>
    </w:p>
    <w:p>
      <w:pPr>
        <w:pStyle w:val="ListParagraph"/>
        <w:numPr>
          <w:ilvl w:val="0"/>
          <w:numId w:val="2"/>
        </w:numPr>
      </w:pPr>
      <w:r>
        <w:rPr>
          <w:rFonts w:ascii="Arial" w:cs="Arial" w:eastAsia="Arial" w:hAnsi="Arial"/>
          <w:color w:val="404040"/>
          <w:sz w:val="22"/>
          <w:szCs w:val="22"/>
        </w:rPr>
        <w:t xml:space="preserve">Feedback des utilisateurs ou des clients</w:t>
      </w:r>
    </w:p>
    <w:p>
      <w:pPr>
        <w:pStyle w:val="ListParagraph"/>
        <w:numPr>
          <w:ilvl w:val="0"/>
          <w:numId w:val="2"/>
        </w:numPr>
      </w:pPr>
      <w:r>
        <w:rPr>
          <w:rFonts w:ascii="Arial" w:cs="Arial" w:eastAsia="Arial" w:hAnsi="Arial"/>
          <w:color w:val="404040"/>
          <w:sz w:val="22"/>
          <w:szCs w:val="22"/>
        </w:rPr>
        <w:t xml:space="preserve">Signalement par les employéés (processus d'alerte - voir document separé)</w:t>
      </w:r>
    </w:p>
    <w:p>
      <w:pPr>
        <w:pStyle w:val="ListParagraph"/>
        <w:numPr>
          <w:ilvl w:val="0"/>
          <w:numId w:val="2"/>
        </w:numPr>
      </w:pPr>
      <w:r>
        <w:rPr>
          <w:rFonts w:ascii="Arial" w:cs="Arial" w:eastAsia="Arial" w:hAnsi="Arial"/>
          <w:color w:val="404040"/>
          <w:sz w:val="22"/>
          <w:szCs w:val="22"/>
        </w:rPr>
        <w:t xml:space="preserve">Audit ou testé de conformité</w:t>
      </w:r>
    </w:p>
    <w:p>
      <w:pPr>
        <w:pStyle w:val="ListParagraph"/>
        <w:numPr>
          <w:ilvl w:val="0"/>
          <w:numId w:val="2"/>
        </w:numPr>
      </w:pPr>
      <w:r>
        <w:rPr>
          <w:rFonts w:ascii="Arial" w:cs="Arial" w:eastAsia="Arial" w:hAnsi="Arial"/>
          <w:color w:val="404040"/>
          <w:sz w:val="22"/>
          <w:szCs w:val="22"/>
        </w:rPr>
        <w:t xml:space="preserve">Investigation suite a une plainte ou une demande legale</w:t>
      </w:r>
    </w:p>
    <w:p>
      <w:r>
        <w:rPr>
          <w:rFonts w:ascii="Arial" w:cs="Arial" w:eastAsia="Arial" w:hAnsi="Arial"/>
          <w:color w:val="404040"/>
          <w:sz w:val="22"/>
          <w:szCs w:val="22"/>
        </w:rPr>
        <w:t xml:space="preserve">Des qu'un incident est detecte, la personne responsable doit :</w:t>
      </w:r>
    </w:p>
    <w:p>
      <w:pPr>
        <w:pStyle w:val="ListParagraph"/>
        <w:numPr>
          <w:ilvl w:val="0"/>
          <w:numId w:val="3"/>
        </w:numPr>
      </w:pPr>
      <w:r>
        <w:rPr>
          <w:rFonts w:ascii="Arial" w:cs="Arial" w:eastAsia="Arial" w:hAnsi="Arial"/>
          <w:color w:val="404040"/>
          <w:sz w:val="22"/>
          <w:szCs w:val="22"/>
        </w:rPr>
        <w:t xml:space="preserve">Documenter l'heure exacte, la description et les preuves initiales</w:t>
      </w:r>
    </w:p>
    <w:p>
      <w:pPr>
        <w:pStyle w:val="ListParagraph"/>
        <w:numPr>
          <w:ilvl w:val="0"/>
          <w:numId w:val="3"/>
        </w:numPr>
      </w:pPr>
      <w:r>
        <w:rPr>
          <w:rFonts w:ascii="Arial" w:cs="Arial" w:eastAsia="Arial" w:hAnsi="Arial"/>
          <w:color w:val="404040"/>
          <w:sz w:val="22"/>
          <w:szCs w:val="22"/>
        </w:rPr>
        <w:t xml:space="preserve">Signaler immediatement au responsable IA ou au gestionnaire d'incident</w:t>
      </w:r>
    </w:p>
    <w:p>
      <w:pPr>
        <w:pStyle w:val="ListParagraph"/>
        <w:numPr>
          <w:ilvl w:val="0"/>
          <w:numId w:val="3"/>
        </w:numPr>
      </w:pPr>
      <w:r>
        <w:rPr>
          <w:rFonts w:ascii="Arial" w:cs="Arial" w:eastAsia="Arial" w:hAnsi="Arial"/>
          <w:color w:val="404040"/>
          <w:sz w:val="22"/>
          <w:szCs w:val="22"/>
        </w:rPr>
        <w:t xml:space="preserve">Preserver les logs et les données pour investigation</w:t>
      </w:r>
    </w:p>
    <w:p>
      <w:pPr>
        <w:pStyle w:val="ListParagraph"/>
        <w:numPr>
          <w:ilvl w:val="0"/>
          <w:numId w:val="3"/>
        </w:numPr>
      </w:pPr>
      <w:r>
        <w:rPr>
          <w:rFonts w:ascii="Arial" w:cs="Arial" w:eastAsia="Arial" w:hAnsi="Arial"/>
          <w:color w:val="404040"/>
          <w:sz w:val="22"/>
          <w:szCs w:val="22"/>
        </w:rPr>
        <w:t xml:space="preserve">Si confidentialité affectée : informer le DPO</w:t>
      </w:r>
    </w:p>
    <w:p>
      <w:pPr>
        <w:pStyle w:val="ListParagraph"/>
        <w:numPr>
          <w:ilvl w:val="0"/>
          <w:numId w:val="3"/>
        </w:numPr>
      </w:pPr>
      <w:r>
        <w:rPr>
          <w:rFonts w:ascii="Arial" w:cs="Arial" w:eastAsia="Arial" w:hAnsi="Arial"/>
          <w:color w:val="404040"/>
          <w:sz w:val="22"/>
          <w:szCs w:val="22"/>
        </w:rPr>
        <w:t xml:space="preserve">Ne pas communiquer publiquement sans autorisation</w:t>
      </w:r>
    </w:p>
    <w:p>
      <w:pPr>
        <w:pStyle w:val="Heading2"/>
      </w:pPr>
      <w:r>
        <w:t xml:space="preserve">Phase 2 - Escalade et classification</w:t>
      </w:r>
    </w:p>
    <w:p>
      <w:r>
        <w:rPr>
          <w:rFonts w:ascii="Arial" w:cs="Arial" w:eastAsia="Arial" w:hAnsi="Arial"/>
          <w:color w:val="404040"/>
          <w:sz w:val="22"/>
          <w:szCs w:val="22"/>
        </w:rPr>
        <w:t xml:space="preserve">Le responsable IA ou gestionnaire d'incident :</w:t>
      </w:r>
    </w:p>
    <w:p>
      <w:pPr>
        <w:pStyle w:val="ListParagraph"/>
        <w:numPr>
          <w:ilvl w:val="0"/>
          <w:numId w:val="3"/>
        </w:numPr>
      </w:pPr>
      <w:r>
        <w:rPr>
          <w:rFonts w:ascii="Arial" w:cs="Arial" w:eastAsia="Arial" w:hAnsi="Arial"/>
          <w:color w:val="404040"/>
          <w:sz w:val="22"/>
          <w:szCs w:val="22"/>
        </w:rPr>
        <w:t xml:space="preserve">évaluée la severite initiale</w:t>
      </w:r>
    </w:p>
    <w:p>
      <w:pPr>
        <w:pStyle w:val="ListParagraph"/>
        <w:numPr>
          <w:ilvl w:val="0"/>
          <w:numId w:val="3"/>
        </w:numPr>
      </w:pPr>
      <w:r>
        <w:rPr>
          <w:rFonts w:ascii="Arial" w:cs="Arial" w:eastAsia="Arial" w:hAnsi="Arial"/>
          <w:color w:val="404040"/>
          <w:sz w:val="22"/>
          <w:szCs w:val="22"/>
        </w:rPr>
        <w:t xml:space="preserve">Ouvre un ticket d'incident avec ID unique (ex. INC-2024-001)</w:t>
      </w:r>
    </w:p>
    <w:p>
      <w:pPr>
        <w:pStyle w:val="ListParagraph"/>
        <w:numPr>
          <w:ilvl w:val="0"/>
          <w:numId w:val="3"/>
        </w:numPr>
      </w:pPr>
      <w:r>
        <w:rPr>
          <w:rFonts w:ascii="Arial" w:cs="Arial" w:eastAsia="Arial" w:hAnsi="Arial"/>
          <w:color w:val="404040"/>
          <w:sz w:val="22"/>
          <w:szCs w:val="22"/>
        </w:rPr>
        <w:t xml:space="preserve">Constitue l'équipe d'investigation (technique, métier, legal si nécessaire)</w:t>
      </w:r>
    </w:p>
    <w:p>
      <w:pPr>
        <w:pStyle w:val="ListParagraph"/>
        <w:numPr>
          <w:ilvl w:val="0"/>
          <w:numId w:val="3"/>
        </w:numPr>
      </w:pPr>
      <w:r>
        <w:rPr>
          <w:rFonts w:ascii="Arial" w:cs="Arial" w:eastAsia="Arial" w:hAnsi="Arial"/>
          <w:color w:val="404040"/>
          <w:sz w:val="22"/>
          <w:szCs w:val="22"/>
        </w:rPr>
        <w:t xml:space="preserve">Notifie le DPO si données personnelles impliquees</w:t>
      </w:r>
    </w:p>
    <w:p>
      <w:pPr>
        <w:pStyle w:val="ListParagraph"/>
        <w:numPr>
          <w:ilvl w:val="0"/>
          <w:numId w:val="3"/>
        </w:numPr>
      </w:pPr>
      <w:r>
        <w:rPr>
          <w:rFonts w:ascii="Arial" w:cs="Arial" w:eastAsia="Arial" w:hAnsi="Arial"/>
          <w:color w:val="404040"/>
          <w:sz w:val="22"/>
          <w:szCs w:val="22"/>
        </w:rPr>
        <w:t xml:space="preserve">Escalade au comite de crise si P1 ou si impact strategique</w:t>
      </w:r>
    </w:p>
    <w:p>
      <w:pPr>
        <w:pStyle w:val="ListParagraph"/>
        <w:numPr>
          <w:ilvl w:val="0"/>
          <w:numId w:val="3"/>
        </w:numPr>
      </w:pPr>
      <w:r>
        <w:rPr>
          <w:rFonts w:ascii="Arial" w:cs="Arial" w:eastAsia="Arial" w:hAnsi="Arial"/>
          <w:color w:val="404040"/>
          <w:sz w:val="22"/>
          <w:szCs w:val="22"/>
        </w:rPr>
        <w:t xml:space="preserve">Communique une premiere estimation aux parties prenantes</w:t>
      </w:r>
    </w:p>
    <w:p>
      <w:pPr>
        <w:pStyle w:val="Heading2"/>
      </w:pPr>
      <w:r>
        <w:t xml:space="preserve">Phase 3 - Investigation initiale</w:t>
      </w:r>
    </w:p>
    <w:p>
      <w:r>
        <w:rPr>
          <w:rFonts w:ascii="Arial" w:cs="Arial" w:eastAsia="Arial" w:hAnsi="Arial"/>
          <w:color w:val="404040"/>
          <w:sz w:val="22"/>
          <w:szCs w:val="22"/>
        </w:rPr>
        <w:t xml:space="preserve">L'équipe d'investigation :</w:t>
      </w:r>
    </w:p>
    <w:p>
      <w:pPr>
        <w:pStyle w:val="ListParagraph"/>
        <w:numPr>
          <w:ilvl w:val="0"/>
          <w:numId w:val="3"/>
        </w:numPr>
      </w:pPr>
      <w:r>
        <w:rPr>
          <w:rFonts w:ascii="Arial" w:cs="Arial" w:eastAsia="Arial" w:hAnsi="Arial"/>
          <w:color w:val="404040"/>
          <w:sz w:val="22"/>
          <w:szCs w:val="22"/>
        </w:rPr>
        <w:t xml:space="preserve">collecte tous les logs, metriques et contexte technique</w:t>
      </w:r>
    </w:p>
    <w:p>
      <w:pPr>
        <w:pStyle w:val="ListParagraph"/>
        <w:numPr>
          <w:ilvl w:val="0"/>
          <w:numId w:val="3"/>
        </w:numPr>
      </w:pPr>
      <w:r>
        <w:rPr>
          <w:rFonts w:ascii="Arial" w:cs="Arial" w:eastAsia="Arial" w:hAnsi="Arial"/>
          <w:color w:val="404040"/>
          <w:sz w:val="22"/>
          <w:szCs w:val="22"/>
        </w:rPr>
        <w:t xml:space="preserve">Determine le perimetre exact de l'incident (combien d'utilisateurs, de données, etc.)</w:t>
      </w:r>
    </w:p>
    <w:p>
      <w:pPr>
        <w:pStyle w:val="ListParagraph"/>
        <w:numPr>
          <w:ilvl w:val="0"/>
          <w:numId w:val="3"/>
        </w:numPr>
      </w:pPr>
      <w:r>
        <w:rPr>
          <w:rFonts w:ascii="Arial" w:cs="Arial" w:eastAsia="Arial" w:hAnsi="Arial"/>
          <w:color w:val="404040"/>
          <w:sz w:val="22"/>
          <w:szCs w:val="22"/>
        </w:rPr>
        <w:t xml:space="preserve">identifié la cause apparente</w:t>
      </w:r>
    </w:p>
    <w:p>
      <w:pPr>
        <w:pStyle w:val="ListParagraph"/>
        <w:numPr>
          <w:ilvl w:val="0"/>
          <w:numId w:val="3"/>
        </w:numPr>
      </w:pPr>
      <w:r>
        <w:rPr>
          <w:rFonts w:ascii="Arial" w:cs="Arial" w:eastAsia="Arial" w:hAnsi="Arial"/>
          <w:color w:val="404040"/>
          <w:sz w:val="22"/>
          <w:szCs w:val="22"/>
        </w:rPr>
        <w:t xml:space="preserve">évaluée les risques residuels et l'exposition continue</w:t>
      </w:r>
    </w:p>
    <w:p>
      <w:pPr>
        <w:pStyle w:val="ListParagraph"/>
        <w:numPr>
          <w:ilvl w:val="0"/>
          <w:numId w:val="3"/>
        </w:numPr>
      </w:pPr>
      <w:r>
        <w:rPr>
          <w:rFonts w:ascii="Arial" w:cs="Arial" w:eastAsia="Arial" w:hAnsi="Arial"/>
          <w:color w:val="404040"/>
          <w:sz w:val="22"/>
          <w:szCs w:val="22"/>
        </w:rPr>
        <w:t xml:space="preserve">Propose des mesures de mitigation immediates</w:t>
      </w:r>
    </w:p>
    <w:p>
      <w:pPr>
        <w:pStyle w:val="ListParagraph"/>
        <w:numPr>
          <w:ilvl w:val="0"/>
          <w:numId w:val="3"/>
        </w:numPr>
      </w:pPr>
      <w:r>
        <w:rPr>
          <w:rFonts w:ascii="Arial" w:cs="Arial" w:eastAsia="Arial" w:hAnsi="Arial"/>
          <w:color w:val="404040"/>
          <w:sz w:val="22"/>
          <w:szCs w:val="22"/>
        </w:rPr>
        <w:t xml:space="preserve">classifie formellement la severite</w:t>
      </w:r>
    </w:p>
    <w:p>
      <w:pPr>
        <w:pStyle w:val="Heading2"/>
      </w:pPr>
      <w:r>
        <w:t xml:space="preserve">Phase 4 - Resolution</w:t>
      </w:r>
    </w:p>
    <w:p>
      <w:r>
        <w:rPr>
          <w:rFonts w:ascii="Arial" w:cs="Arial" w:eastAsia="Arial" w:hAnsi="Arial"/>
          <w:color w:val="404040"/>
          <w:sz w:val="22"/>
          <w:szCs w:val="22"/>
        </w:rPr>
        <w:t xml:space="preserve">Selon la severite et la nature de l'incident :</w:t>
      </w:r>
    </w:p>
    <w:p>
      <w:r>
        <w:rPr>
          <w:rFonts w:ascii="Arial" w:cs="Arial" w:eastAsia="Arial" w:hAnsi="Arial"/>
          <w:color w:val="404040"/>
          <w:sz w:val="22"/>
          <w:szCs w:val="22"/>
        </w:rPr>
        <w:t xml:space="preserve">Pour les incidents critiques ou graves (P1-P2) :</w:t>
      </w:r>
    </w:p>
    <w:p>
      <w:pPr>
        <w:pStyle w:val="ListParagraph"/>
        <w:numPr>
          <w:ilvl w:val="0"/>
          <w:numId w:val="3"/>
        </w:numPr>
      </w:pPr>
      <w:r>
        <w:rPr>
          <w:rFonts w:ascii="Arial" w:cs="Arial" w:eastAsia="Arial" w:hAnsi="Arial"/>
          <w:color w:val="404040"/>
          <w:sz w:val="22"/>
          <w:szCs w:val="22"/>
        </w:rPr>
        <w:t xml:space="preserve">Arreter ou limiter l'utilisation du système IA jusqu'a resolution</w:t>
      </w:r>
    </w:p>
    <w:p>
      <w:pPr>
        <w:pStyle w:val="ListParagraph"/>
        <w:numPr>
          <w:ilvl w:val="0"/>
          <w:numId w:val="3"/>
        </w:numPr>
      </w:pPr>
      <w:r>
        <w:rPr>
          <w:rFonts w:ascii="Arial" w:cs="Arial" w:eastAsia="Arial" w:hAnsi="Arial"/>
          <w:color w:val="404040"/>
          <w:sz w:val="22"/>
          <w:szCs w:val="22"/>
        </w:rPr>
        <w:t xml:space="preserve">Implémenter une solution ou un contournement immediat</w:t>
      </w:r>
    </w:p>
    <w:p>
      <w:pPr>
        <w:pStyle w:val="ListParagraph"/>
        <w:numPr>
          <w:ilvl w:val="0"/>
          <w:numId w:val="3"/>
        </w:numPr>
      </w:pPr>
      <w:r>
        <w:rPr>
          <w:rFonts w:ascii="Arial" w:cs="Arial" w:eastAsia="Arial" w:hAnsi="Arial"/>
          <w:color w:val="404040"/>
          <w:sz w:val="22"/>
          <w:szCs w:val="22"/>
        </w:rPr>
        <w:t xml:space="preserve">Tester la solution avant remise en production</w:t>
      </w:r>
    </w:p>
    <w:p>
      <w:pPr>
        <w:pStyle w:val="ListParagraph"/>
        <w:numPr>
          <w:ilvl w:val="0"/>
          <w:numId w:val="3"/>
        </w:numPr>
      </w:pPr>
      <w:r>
        <w:rPr>
          <w:rFonts w:ascii="Arial" w:cs="Arial" w:eastAsia="Arial" w:hAnsi="Arial"/>
          <w:color w:val="404040"/>
          <w:sz w:val="22"/>
          <w:szCs w:val="22"/>
        </w:rPr>
        <w:t xml:space="preserve">Notifier les personnes impactees (selon Loi 25)</w:t>
      </w:r>
    </w:p>
    <w:p>
      <w:pPr>
        <w:pStyle w:val="ListParagraph"/>
        <w:numPr>
          <w:ilvl w:val="0"/>
          <w:numId w:val="3"/>
        </w:numPr>
      </w:pPr>
      <w:r>
        <w:rPr>
          <w:rFonts w:ascii="Arial" w:cs="Arial" w:eastAsia="Arial" w:hAnsi="Arial"/>
          <w:color w:val="404040"/>
          <w:sz w:val="22"/>
          <w:szCs w:val="22"/>
        </w:rPr>
        <w:t xml:space="preserve">Documenter la resolution et valider son efficacite</w:t>
      </w:r>
    </w:p>
    <w:p>
      <w:r>
        <w:rPr>
          <w:rFonts w:ascii="Arial" w:cs="Arial" w:eastAsia="Arial" w:hAnsi="Arial"/>
          <w:color w:val="404040"/>
          <w:sz w:val="22"/>
          <w:szCs w:val="22"/>
        </w:rPr>
        <w:t xml:space="preserve">Pour les incidents moderés ou mineurs (P3-P4) :</w:t>
      </w:r>
    </w:p>
    <w:p>
      <w:pPr>
        <w:pStyle w:val="ListParagraph"/>
        <w:numPr>
          <w:ilvl w:val="0"/>
          <w:numId w:val="3"/>
        </w:numPr>
      </w:pPr>
      <w:r>
        <w:rPr>
          <w:rFonts w:ascii="Arial" w:cs="Arial" w:eastAsia="Arial" w:hAnsi="Arial"/>
          <w:color w:val="404040"/>
          <w:sz w:val="22"/>
          <w:szCs w:val="22"/>
        </w:rPr>
        <w:t xml:space="preserve">Planifier une correction dans les prochaines releases</w:t>
      </w:r>
    </w:p>
    <w:p>
      <w:pPr>
        <w:pStyle w:val="ListParagraph"/>
        <w:numPr>
          <w:ilvl w:val="0"/>
          <w:numId w:val="3"/>
        </w:numPr>
      </w:pPr>
      <w:r>
        <w:rPr>
          <w:rFonts w:ascii="Arial" w:cs="Arial" w:eastAsia="Arial" w:hAnsi="Arial"/>
          <w:color w:val="404040"/>
          <w:sz w:val="22"/>
          <w:szCs w:val="22"/>
        </w:rPr>
        <w:t xml:space="preserve">Mettre en place des controles compensatoires si nécessaire</w:t>
      </w:r>
    </w:p>
    <w:p>
      <w:pPr>
        <w:pStyle w:val="ListParagraph"/>
        <w:numPr>
          <w:ilvl w:val="0"/>
          <w:numId w:val="3"/>
        </w:numPr>
      </w:pPr>
      <w:r>
        <w:rPr>
          <w:rFonts w:ascii="Arial" w:cs="Arial" w:eastAsia="Arial" w:hAnsi="Arial"/>
          <w:color w:val="404040"/>
          <w:sz w:val="22"/>
          <w:szCs w:val="22"/>
        </w:rPr>
        <w:t xml:space="preserve">Monitorer pour assurer que l'incident ne s'amplifié</w:t>
      </w:r>
    </w:p>
    <w:p>
      <w:pPr>
        <w:pStyle w:val="ListParagraph"/>
        <w:numPr>
          <w:ilvl w:val="0"/>
          <w:numId w:val="3"/>
        </w:numPr>
      </w:pPr>
      <w:r>
        <w:rPr>
          <w:rFonts w:ascii="Arial" w:cs="Arial" w:eastAsia="Arial" w:hAnsi="Arial"/>
          <w:color w:val="404040"/>
          <w:sz w:val="22"/>
          <w:szCs w:val="22"/>
        </w:rPr>
        <w:t xml:space="preserve">Documenter et fermer l'incident une fois resolu</w:t>
      </w:r>
    </w:p>
    <w:p>
      <w:pPr>
        <w:pStyle w:val="Heading2"/>
      </w:pPr>
      <w:r>
        <w:t xml:space="preserve">Phase 5 - Communication</w:t>
      </w:r>
    </w:p>
    <w:p>
      <w:r>
        <w:rPr>
          <w:rFonts w:ascii="Arial" w:cs="Arial" w:eastAsia="Arial" w:hAnsi="Arial"/>
          <w:color w:val="404040"/>
          <w:sz w:val="22"/>
          <w:szCs w:val="22"/>
        </w:rPr>
        <w:t xml:space="preserve">La communication depend du type et de la severite de l'incident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900"/>
        <w:gridCol w:w="39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Partie prenante</w:t>
            </w:r>
          </w:p>
        </w:tc>
        <w:tc>
          <w:tcPr>
            <w:tcW w:type="dxa" w:w="3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Contenu de communication</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Timing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DPO et Comite crise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Details complets, impact legal et réputationnel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Immediatement pour P1</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clients/personnes impactees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Information factuelle sur l'incident et les mesures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24h max (Loi 25)</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Autorite réglementaire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Notification si divulgation de données (Loi 25)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30 jours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employéés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Briefing sur les causes et les mesures preventives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Apres resolution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Publique/Presse</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Communique si impact réputationnel majeur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Avec accord direction</w:t>
            </w:r>
          </w:p>
        </w:tc>
      </w:tr>
    </w:tbl>
    <w:p>
      <w:pPr>
        <w:pStyle w:val="Heading2"/>
      </w:pPr>
      <w:r>
        <w:t xml:space="preserve">Phase 6 - Investigation approfondie (Post-Mortem)</w:t>
      </w:r>
    </w:p>
    <w:p>
      <w:r>
        <w:rPr>
          <w:rFonts w:ascii="Arial" w:cs="Arial" w:eastAsia="Arial" w:hAnsi="Arial"/>
          <w:color w:val="404040"/>
          <w:sz w:val="22"/>
          <w:szCs w:val="22"/>
        </w:rPr>
        <w:t xml:space="preserve">Une fois l'incident resolu, une investigation approfondie est menee pour :</w:t>
      </w:r>
    </w:p>
    <w:p>
      <w:pPr>
        <w:pStyle w:val="ListParagraph"/>
        <w:numPr>
          <w:ilvl w:val="0"/>
          <w:numId w:val="2"/>
        </w:numPr>
      </w:pPr>
      <w:r>
        <w:rPr>
          <w:rFonts w:ascii="Arial" w:cs="Arial" w:eastAsia="Arial" w:hAnsi="Arial"/>
          <w:color w:val="404040"/>
          <w:sz w:val="22"/>
          <w:szCs w:val="22"/>
        </w:rPr>
        <w:t xml:space="preserve">Identifier la cause racine (root cause) de l'incident</w:t>
      </w:r>
    </w:p>
    <w:p>
      <w:pPr>
        <w:pStyle w:val="ListParagraph"/>
        <w:numPr>
          <w:ilvl w:val="0"/>
          <w:numId w:val="2"/>
        </w:numPr>
      </w:pPr>
      <w:r>
        <w:rPr>
          <w:rFonts w:ascii="Arial" w:cs="Arial" w:eastAsia="Arial" w:hAnsi="Arial"/>
          <w:color w:val="404040"/>
          <w:sz w:val="22"/>
          <w:szCs w:val="22"/>
        </w:rPr>
        <w:t xml:space="preserve">Determiner pourquoi les controles n'ont pas fonctionne</w:t>
      </w:r>
    </w:p>
    <w:p>
      <w:pPr>
        <w:pStyle w:val="ListParagraph"/>
        <w:numPr>
          <w:ilvl w:val="0"/>
          <w:numId w:val="2"/>
        </w:numPr>
      </w:pPr>
      <w:r>
        <w:rPr>
          <w:rFonts w:ascii="Arial" w:cs="Arial" w:eastAsia="Arial" w:hAnsi="Arial"/>
          <w:color w:val="404040"/>
          <w:sz w:val="22"/>
          <w:szCs w:val="22"/>
        </w:rPr>
        <w:t xml:space="preserve">Proposer des mesures correctives pour eviter la recurrence</w:t>
      </w:r>
    </w:p>
    <w:p>
      <w:pPr>
        <w:pStyle w:val="ListParagraph"/>
        <w:numPr>
          <w:ilvl w:val="0"/>
          <w:numId w:val="2"/>
        </w:numPr>
      </w:pPr>
      <w:r>
        <w:rPr>
          <w:rFonts w:ascii="Arial" w:cs="Arial" w:eastAsia="Arial" w:hAnsi="Arial"/>
          <w:color w:val="404040"/>
          <w:sz w:val="22"/>
          <w:szCs w:val="22"/>
        </w:rPr>
        <w:t xml:space="preserve">Evaluer les tendances et les patterns d'incidents</w:t>
      </w:r>
    </w:p>
    <w:p>
      <w:pPr>
        <w:pStyle w:val="ListParagraph"/>
        <w:numPr>
          <w:ilvl w:val="0"/>
          <w:numId w:val="2"/>
        </w:numPr>
      </w:pPr>
      <w:r>
        <w:rPr>
          <w:rFonts w:ascii="Arial" w:cs="Arial" w:eastAsia="Arial" w:hAnsi="Arial"/>
          <w:color w:val="404040"/>
          <w:sz w:val="22"/>
          <w:szCs w:val="22"/>
        </w:rPr>
        <w:t xml:space="preserve">Partager les apprentissages avec les équipes pertinentes</w:t>
      </w:r>
    </w:p>
    <w:p>
      <w:r>
        <w:rPr>
          <w:rFonts w:ascii="Arial" w:cs="Arial" w:eastAsia="Arial" w:hAnsi="Arial"/>
          <w:color w:val="404040"/>
          <w:sz w:val="22"/>
          <w:szCs w:val="22"/>
        </w:rPr>
        <w:t xml:space="preserve">La réunion de post-mortem est tenue dans les 5 jours ouvrables et reunit :</w:t>
      </w:r>
    </w:p>
    <w:p>
      <w:pPr>
        <w:pStyle w:val="ListParagraph"/>
        <w:numPr>
          <w:ilvl w:val="0"/>
          <w:numId w:val="2"/>
        </w:numPr>
      </w:pPr>
      <w:r>
        <w:rPr>
          <w:rFonts w:ascii="Arial" w:cs="Arial" w:eastAsia="Arial" w:hAnsi="Arial"/>
          <w:color w:val="404040"/>
          <w:sz w:val="22"/>
          <w:szCs w:val="22"/>
        </w:rPr>
        <w:t xml:space="preserve">responsable IA</w:t>
      </w:r>
    </w:p>
    <w:p>
      <w:pPr>
        <w:pStyle w:val="ListParagraph"/>
        <w:numPr>
          <w:ilvl w:val="0"/>
          <w:numId w:val="2"/>
        </w:numPr>
      </w:pPr>
      <w:r>
        <w:rPr>
          <w:rFonts w:ascii="Arial" w:cs="Arial" w:eastAsia="Arial" w:hAnsi="Arial"/>
          <w:color w:val="404040"/>
          <w:sz w:val="22"/>
          <w:szCs w:val="22"/>
        </w:rPr>
        <w:t xml:space="preserve">Membres de l'équipe d'investigation</w:t>
      </w:r>
    </w:p>
    <w:p>
      <w:pPr>
        <w:pStyle w:val="ListParagraph"/>
        <w:numPr>
          <w:ilvl w:val="0"/>
          <w:numId w:val="2"/>
        </w:numPr>
      </w:pPr>
      <w:r>
        <w:rPr>
          <w:rFonts w:ascii="Arial" w:cs="Arial" w:eastAsia="Arial" w:hAnsi="Arial"/>
          <w:color w:val="404040"/>
          <w:sz w:val="22"/>
          <w:szCs w:val="22"/>
        </w:rPr>
        <w:t xml:space="preserve">propriétaire du système IA</w:t>
      </w:r>
    </w:p>
    <w:p>
      <w:pPr>
        <w:pStyle w:val="ListParagraph"/>
        <w:numPr>
          <w:ilvl w:val="0"/>
          <w:numId w:val="2"/>
        </w:numPr>
      </w:pPr>
      <w:r>
        <w:rPr>
          <w:rFonts w:ascii="Arial" w:cs="Arial" w:eastAsia="Arial" w:hAnsi="Arial"/>
          <w:color w:val="404040"/>
          <w:sz w:val="22"/>
          <w:szCs w:val="22"/>
        </w:rPr>
        <w:t xml:space="preserve">Representant des opérations ou support client</w:t>
      </w:r>
    </w:p>
    <w:p>
      <w:pPr>
        <w:pStyle w:val="ListParagraph"/>
        <w:numPr>
          <w:ilvl w:val="0"/>
          <w:numId w:val="2"/>
        </w:numPr>
      </w:pPr>
      <w:r>
        <w:rPr>
          <w:rFonts w:ascii="Arial" w:cs="Arial" w:eastAsia="Arial" w:hAnsi="Arial"/>
          <w:color w:val="404040"/>
          <w:sz w:val="22"/>
          <w:szCs w:val="22"/>
        </w:rPr>
        <w:t xml:space="preserve">Si applicable : DPO, representant legal</w:t>
      </w:r>
    </w:p>
    <w:p>
      <w:r>
        <w:rPr>
          <w:rFonts w:ascii="Arial" w:cs="Arial" w:eastAsia="Arial" w:hAnsi="Arial"/>
          <w:color w:val="404040"/>
          <w:sz w:val="22"/>
          <w:szCs w:val="22"/>
        </w:rPr>
        <w:t xml:space="preserve">La réunion delivre :</w:t>
      </w:r>
    </w:p>
    <w:p>
      <w:pPr>
        <w:pStyle w:val="ListParagraph"/>
        <w:numPr>
          <w:ilvl w:val="0"/>
          <w:numId w:val="2"/>
        </w:numPr>
      </w:pPr>
      <w:r>
        <w:rPr>
          <w:rFonts w:ascii="Arial" w:cs="Arial" w:eastAsia="Arial" w:hAnsi="Arial"/>
          <w:color w:val="404040"/>
          <w:sz w:val="22"/>
          <w:szCs w:val="22"/>
        </w:rPr>
        <w:t xml:space="preserve">Chronologie détaillée de l'incident</w:t>
      </w:r>
    </w:p>
    <w:p>
      <w:pPr>
        <w:pStyle w:val="ListParagraph"/>
        <w:numPr>
          <w:ilvl w:val="0"/>
          <w:numId w:val="2"/>
        </w:numPr>
      </w:pPr>
      <w:r>
        <w:rPr>
          <w:rFonts w:ascii="Arial" w:cs="Arial" w:eastAsia="Arial" w:hAnsi="Arial"/>
          <w:color w:val="404040"/>
          <w:sz w:val="22"/>
          <w:szCs w:val="22"/>
        </w:rPr>
        <w:t xml:space="preserve">Analyse de la cause racine</w:t>
      </w:r>
    </w:p>
    <w:p>
      <w:pPr>
        <w:pStyle w:val="ListParagraph"/>
        <w:numPr>
          <w:ilvl w:val="0"/>
          <w:numId w:val="2"/>
        </w:numPr>
      </w:pPr>
      <w:r>
        <w:rPr>
          <w:rFonts w:ascii="Arial" w:cs="Arial" w:eastAsia="Arial" w:hAnsi="Arial"/>
          <w:color w:val="404040"/>
          <w:sz w:val="22"/>
          <w:szCs w:val="22"/>
        </w:rPr>
        <w:t xml:space="preserve">Liste des 3-5 actions correctrices prioritaires</w:t>
      </w:r>
    </w:p>
    <w:p>
      <w:pPr>
        <w:pStyle w:val="ListParagraph"/>
        <w:numPr>
          <w:ilvl w:val="0"/>
          <w:numId w:val="2"/>
        </w:numPr>
      </w:pPr>
      <w:r>
        <w:rPr>
          <w:rFonts w:ascii="Arial" w:cs="Arial" w:eastAsia="Arial" w:hAnsi="Arial"/>
          <w:color w:val="404040"/>
          <w:sz w:val="22"/>
          <w:szCs w:val="22"/>
        </w:rPr>
        <w:t xml:space="preserve">Attribution de propriétaires et delais</w:t>
      </w:r>
    </w:p>
    <w:p>
      <w:pPr>
        <w:pStyle w:val="ListParagraph"/>
        <w:numPr>
          <w:ilvl w:val="0"/>
          <w:numId w:val="2"/>
        </w:numPr>
      </w:pPr>
      <w:r>
        <w:rPr>
          <w:rFonts w:ascii="Arial" w:cs="Arial" w:eastAsia="Arial" w:hAnsi="Arial"/>
          <w:color w:val="404040"/>
          <w:sz w:val="22"/>
          <w:szCs w:val="22"/>
        </w:rPr>
        <w:t xml:space="preserve">Plan de prevention et de monitoring renforce</w:t>
      </w:r>
    </w:p>
    <w:p>
      <w:pPr>
        <w:spacing w:before="200"/>
      </w:pPr>
    </w:p>
    <w:p>
      <w:pPr>
        <w:pStyle w:val="Heading1"/>
      </w:pPr>
      <w:r>
        <w:t xml:space="preserve">Formulaire de rapport d'incident</w:t>
      </w:r>
    </w:p>
    <w:p>
      <w:r>
        <w:rPr>
          <w:rFonts w:ascii="Arial" w:cs="Arial" w:eastAsia="Arial" w:hAnsi="Arial"/>
          <w:color w:val="404040"/>
          <w:sz w:val="22"/>
          <w:szCs w:val="22"/>
        </w:rPr>
        <w:t xml:space="preserve">Chaque incident doit être documente selon le template suivant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Champ</w:t>
            </w:r>
          </w:p>
        </w:tc>
        <w:tc>
          <w:tcPr>
            <w:tcW w:type="dxa" w:w="7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 incident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Identifiant unique (ex. INC-2024-001)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Date/Heure detection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Timestamp exact de detection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IA affecte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et version du système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initiale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factuelle de l'incident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Severite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P1 / P2 / P3 / P4</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données personnelles impactees ?</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Oui/Non + perimetre si oui</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Nombre de personnes affectees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Estimation initiale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Cause racine (identifiée)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une fois diagnostiquee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mesures d'atténuation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Actions prises pour mitiger l'incident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Resolution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Description de la solution definitive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Date/Heure resolution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Timestamp de fin de l'incident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propriétaire incident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Nom du gestionnaire d'incident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Notifications envoyees</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Liste des parties notifiees et dates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 corrective (post-mortem)</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Actions a mettre en œuvre pour prevention</w:t>
            </w:r>
          </w:p>
        </w:tc>
      </w:tr>
    </w:tbl>
    <w:p>
      <w:pPr>
        <w:spacing w:before="200"/>
      </w:pPr>
    </w:p>
    <w:p>
      <w:pPr>
        <w:pStyle w:val="Heading1"/>
      </w:pPr>
      <w:r>
        <w:t xml:space="preserve">conformité avec la Loi 25</w:t>
      </w:r>
    </w:p>
    <w:p>
      <w:r>
        <w:rPr>
          <w:rFonts w:ascii="Arial" w:cs="Arial" w:eastAsia="Arial" w:hAnsi="Arial"/>
          <w:color w:val="404040"/>
          <w:sz w:val="22"/>
          <w:szCs w:val="22"/>
        </w:rPr>
        <w:t xml:space="preserve">Les incidents impliquant une divulgation ou un accès non autorisés de données personnelles doivent être notifies selon la Loi 25 :</w:t>
      </w:r>
    </w:p>
    <w:p>
      <w:pPr>
        <w:pStyle w:val="Heading2"/>
      </w:pPr>
      <w:r>
        <w:t xml:space="preserve">Notification obligatoire</w:t>
      </w:r>
    </w:p>
    <w:p>
      <w:r>
        <w:rPr>
          <w:rFonts w:ascii="Arial" w:cs="Arial" w:eastAsia="Arial" w:hAnsi="Arial"/>
          <w:color w:val="404040"/>
          <w:sz w:val="22"/>
          <w:szCs w:val="22"/>
        </w:rPr>
        <w:t xml:space="preserve">Une notification est requise si :</w:t>
      </w:r>
    </w:p>
    <w:p>
      <w:pPr>
        <w:pStyle w:val="ListParagraph"/>
        <w:numPr>
          <w:ilvl w:val="0"/>
          <w:numId w:val="2"/>
        </w:numPr>
      </w:pPr>
      <w:r>
        <w:rPr>
          <w:rFonts w:ascii="Arial" w:cs="Arial" w:eastAsia="Arial" w:hAnsi="Arial"/>
          <w:color w:val="404040"/>
          <w:sz w:val="22"/>
          <w:szCs w:val="22"/>
        </w:rPr>
        <w:t xml:space="preserve">Risque serieux pour la vie privee d'une personne (ex. données sensibles divulguees)</w:t>
      </w:r>
    </w:p>
    <w:p>
      <w:pPr>
        <w:pStyle w:val="ListParagraph"/>
        <w:numPr>
          <w:ilvl w:val="0"/>
          <w:numId w:val="2"/>
        </w:numPr>
      </w:pPr>
      <w:r>
        <w:rPr>
          <w:rFonts w:ascii="Arial" w:cs="Arial" w:eastAsia="Arial" w:hAnsi="Arial"/>
          <w:color w:val="404040"/>
          <w:sz w:val="22"/>
          <w:szCs w:val="22"/>
        </w:rPr>
        <w:t xml:space="preserve">données personnelles compromises par non-chiffrage ou non-protection adéquate</w:t>
      </w:r>
    </w:p>
    <w:p>
      <w:pPr>
        <w:pStyle w:val="ListParagraph"/>
        <w:numPr>
          <w:ilvl w:val="0"/>
          <w:numId w:val="2"/>
        </w:numPr>
      </w:pPr>
      <w:r>
        <w:rPr>
          <w:rFonts w:ascii="Arial" w:cs="Arial" w:eastAsia="Arial" w:hAnsi="Arial"/>
          <w:color w:val="404040"/>
          <w:sz w:val="22"/>
          <w:szCs w:val="22"/>
        </w:rPr>
        <w:t xml:space="preserve">Vol ou perte de données personnelles documentées</w:t>
      </w:r>
    </w:p>
    <w:p>
      <w:pPr>
        <w:pStyle w:val="Heading2"/>
      </w:pPr>
      <w:r>
        <w:t xml:space="preserve">Délai de notification</w:t>
      </w:r>
    </w:p>
    <w:p>
      <w:r>
        <w:rPr>
          <w:rFonts w:ascii="Arial" w:cs="Arial" w:eastAsia="Arial" w:hAnsi="Arial"/>
          <w:color w:val="404040"/>
          <w:sz w:val="22"/>
          <w:szCs w:val="22"/>
        </w:rPr>
        <w:t xml:space="preserve">La notification doit être envoyee dans les meilleurs delais et dans tous les cas avant 30 jours suivant la découverte.</w:t>
      </w:r>
    </w:p>
    <w:p>
      <w:pPr>
        <w:pStyle w:val="Heading2"/>
      </w:pPr>
      <w:r>
        <w:t xml:space="preserve">Contenu de la notification</w:t>
      </w:r>
    </w:p>
    <w:p>
      <w:r>
        <w:rPr>
          <w:rFonts w:ascii="Arial" w:cs="Arial" w:eastAsia="Arial" w:hAnsi="Arial"/>
          <w:color w:val="404040"/>
          <w:sz w:val="22"/>
          <w:szCs w:val="22"/>
        </w:rPr>
        <w:t xml:space="preserve">La notification doit contenir :</w:t>
      </w:r>
    </w:p>
    <w:p>
      <w:pPr>
        <w:pStyle w:val="ListParagraph"/>
        <w:numPr>
          <w:ilvl w:val="0"/>
          <w:numId w:val="2"/>
        </w:numPr>
      </w:pPr>
      <w:r>
        <w:rPr>
          <w:rFonts w:ascii="Arial" w:cs="Arial" w:eastAsia="Arial" w:hAnsi="Arial"/>
          <w:color w:val="404040"/>
          <w:sz w:val="22"/>
          <w:szCs w:val="22"/>
        </w:rPr>
        <w:t xml:space="preserve">Description de l'incident et des données affectees</w:t>
      </w:r>
    </w:p>
    <w:p>
      <w:pPr>
        <w:pStyle w:val="ListParagraph"/>
        <w:numPr>
          <w:ilvl w:val="0"/>
          <w:numId w:val="2"/>
        </w:numPr>
      </w:pPr>
      <w:r>
        <w:rPr>
          <w:rFonts w:ascii="Arial" w:cs="Arial" w:eastAsia="Arial" w:hAnsi="Arial"/>
          <w:color w:val="404040"/>
          <w:sz w:val="22"/>
          <w:szCs w:val="22"/>
        </w:rPr>
        <w:t xml:space="preserve">mesures d'atténuation prises</w:t>
      </w:r>
    </w:p>
    <w:p>
      <w:pPr>
        <w:pStyle w:val="ListParagraph"/>
        <w:numPr>
          <w:ilvl w:val="0"/>
          <w:numId w:val="2"/>
        </w:numPr>
      </w:pPr>
      <w:r>
        <w:rPr>
          <w:rFonts w:ascii="Arial" w:cs="Arial" w:eastAsia="Arial" w:hAnsi="Arial"/>
          <w:color w:val="404040"/>
          <w:sz w:val="22"/>
          <w:szCs w:val="22"/>
        </w:rPr>
        <w:t xml:space="preserve">informations de contact pour obtenir plus d'informations</w:t>
      </w:r>
    </w:p>
    <w:p>
      <w:pPr>
        <w:pStyle w:val="ListParagraph"/>
        <w:numPr>
          <w:ilvl w:val="0"/>
          <w:numId w:val="2"/>
        </w:numPr>
      </w:pPr>
      <w:r>
        <w:rPr>
          <w:rFonts w:ascii="Arial" w:cs="Arial" w:eastAsia="Arial" w:hAnsi="Arial"/>
          <w:color w:val="404040"/>
          <w:sz w:val="22"/>
          <w:szCs w:val="22"/>
        </w:rPr>
        <w:t xml:space="preserve">Recommandations d'autoprotection (ex. monitoring de compte bancaire)</w:t>
      </w:r>
    </w:p>
    <w:p>
      <w:pPr>
        <w:pStyle w:val="Heading2"/>
      </w:pPr>
      <w:r>
        <w:t xml:space="preserve">Notification a l'autorite</w:t>
      </w:r>
    </w:p>
    <w:p>
      <w:r>
        <w:rPr>
          <w:rFonts w:ascii="Arial" w:cs="Arial" w:eastAsia="Arial" w:hAnsi="Arial"/>
          <w:color w:val="404040"/>
          <w:sz w:val="22"/>
          <w:szCs w:val="22"/>
        </w:rPr>
        <w:t xml:space="preserve">Si le risque est considere serieux et que la notification aux personnes ne suffit pas a attenuer le risque, l'autorite responsable (Commission d'accès a l'information du Québec) doit être avisee dans les meilleurs delais.</w:t>
      </w:r>
    </w:p>
    <w:p>
      <w:pPr>
        <w:spacing w:before="200"/>
      </w:pPr>
    </w:p>
    <w:p>
      <w:pPr>
        <w:pStyle w:val="Heading1"/>
      </w:pPr>
      <w:r>
        <w:t xml:space="preserve">registre des incidents</w:t>
      </w:r>
    </w:p>
    <w:p>
      <w:r>
        <w:rPr>
          <w:rFonts w:ascii="Arial" w:cs="Arial" w:eastAsia="Arial" w:hAnsi="Arial"/>
          <w:color w:val="404040"/>
          <w:sz w:val="22"/>
          <w:szCs w:val="22"/>
        </w:rPr>
        <w:t xml:space="preserve">Un registre centralise de tous les incidents IA est maintenu par le responsable IA. Ce registre permet :</w:t>
      </w:r>
    </w:p>
    <w:p>
      <w:pPr>
        <w:pStyle w:val="ListParagraph"/>
        <w:numPr>
          <w:ilvl w:val="0"/>
          <w:numId w:val="2"/>
        </w:numPr>
      </w:pPr>
      <w:r>
        <w:rPr>
          <w:rFonts w:ascii="Arial" w:cs="Arial" w:eastAsia="Arial" w:hAnsi="Arial"/>
          <w:color w:val="404040"/>
          <w:sz w:val="22"/>
          <w:szCs w:val="22"/>
        </w:rPr>
        <w:t xml:space="preserve">Suivi du statut de chaque incident (ouvert, en resolution, resolu, clos)</w:t>
      </w:r>
    </w:p>
    <w:p>
      <w:pPr>
        <w:pStyle w:val="ListParagraph"/>
        <w:numPr>
          <w:ilvl w:val="0"/>
          <w:numId w:val="2"/>
        </w:numPr>
      </w:pPr>
      <w:r>
        <w:rPr>
          <w:rFonts w:ascii="Arial" w:cs="Arial" w:eastAsia="Arial" w:hAnsi="Arial"/>
          <w:color w:val="404040"/>
          <w:sz w:val="22"/>
          <w:szCs w:val="22"/>
        </w:rPr>
        <w:t xml:space="preserve">Identification des tendances et patterns d'incidents</w:t>
      </w:r>
    </w:p>
    <w:p>
      <w:pPr>
        <w:pStyle w:val="ListParagraph"/>
        <w:numPr>
          <w:ilvl w:val="0"/>
          <w:numId w:val="2"/>
        </w:numPr>
      </w:pPr>
      <w:r>
        <w:rPr>
          <w:rFonts w:ascii="Arial" w:cs="Arial" w:eastAsia="Arial" w:hAnsi="Arial"/>
          <w:color w:val="404040"/>
          <w:sz w:val="22"/>
          <w:szCs w:val="22"/>
        </w:rPr>
        <w:t xml:space="preserve">évaluation de l'efficacite des mesures preventives</w:t>
      </w:r>
    </w:p>
    <w:p>
      <w:pPr>
        <w:pStyle w:val="ListParagraph"/>
        <w:numPr>
          <w:ilvl w:val="0"/>
          <w:numId w:val="2"/>
        </w:numPr>
      </w:pPr>
      <w:r>
        <w:rPr>
          <w:rFonts w:ascii="Arial" w:cs="Arial" w:eastAsia="Arial" w:hAnsi="Arial"/>
          <w:color w:val="404040"/>
          <w:sz w:val="22"/>
          <w:szCs w:val="22"/>
        </w:rPr>
        <w:t xml:space="preserve">Rapport annuel au comite de gouvernance</w:t>
      </w:r>
    </w:p>
    <w:p>
      <w:pPr>
        <w:pStyle w:val="ListParagraph"/>
        <w:numPr>
          <w:ilvl w:val="0"/>
          <w:numId w:val="2"/>
        </w:numPr>
      </w:pPr>
      <w:r>
        <w:rPr>
          <w:rFonts w:ascii="Arial" w:cs="Arial" w:eastAsia="Arial" w:hAnsi="Arial"/>
          <w:color w:val="404040"/>
          <w:sz w:val="22"/>
          <w:szCs w:val="22"/>
        </w:rPr>
        <w:t xml:space="preserve">Demonstration de conformité avec les exigences réglementaires</w:t>
      </w:r>
    </w:p>
    <w:p>
      <w:r>
        <w:rPr>
          <w:rFonts w:ascii="Arial" w:cs="Arial" w:eastAsia="Arial" w:hAnsi="Arial"/>
          <w:color w:val="404040"/>
          <w:sz w:val="22"/>
          <w:szCs w:val="22"/>
        </w:rPr>
        <w:t xml:space="preserve">Le registre est révisé trimestriellement pour identifier les themes d'amelioration.</w:t>
      </w:r>
    </w:p>
    <w:p>
      <w:pPr>
        <w:spacing w:before="200"/>
      </w:pP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Loi 25 - Notification des incidents de confidentialité (articles applicables)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annuelle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de confidentialité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Divulgation non autorisée ou perte de données personnelles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Root cause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Cause fondamentale d'un incident, pas juste le symptome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Post-mortem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réunion d'analyse apres resolution d'un incident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Escalade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Elevation d'un incident a un niveau de gestion plus élevé</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Procedure de gestion des incidents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2026-03-05T02:24:49.253Z</dcterms:created>
  <dcterms:modified xsi:type="dcterms:W3CDTF">2026-03-05T02:24:49.253Z</dcterms:modified>
</cp:coreProperties>
</file>

<file path=docProps/custom.xml><?xml version="1.0" encoding="utf-8"?>
<Properties xmlns="http://schemas.openxmlformats.org/officeDocument/2006/custom-properties" xmlns:vt="http://schemas.openxmlformats.org/officeDocument/2006/docPropsVTypes"/>
</file>