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Plan de retrait - Decommissioning</w:t>
      </w:r>
    </w:p>
    <w:p>
      <w:pPr>
        <w:spacing w:after="600"/>
        <w:jc w:val="center"/>
      </w:pPr>
      <w:r>
        <w:rPr>
          <w:rFonts w:ascii="Arial" w:cs="Arial" w:eastAsia="Arial" w:hAnsi="Arial"/>
          <w:color w:val="2E75B6"/>
          <w:sz w:val="24"/>
          <w:szCs w:val="24"/>
        </w:rPr>
        <w:t xml:space="preserve">Procedure de desactivation securisee d'un système IA, migration des données, notification, archivage et post-mortem</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Lorsqu'une décision est prise de desactiver ou retirer un système d'IA, un processus structuré appelé decommissioning (retrait) doit être suivi. Ce processus assure que :</w:t>
      </w:r>
    </w:p>
    <w:p>
      <w:pPr>
        <w:pStyle w:val="ListParagraph"/>
        <w:numPr>
          <w:ilvl w:val="0"/>
          <w:numId w:val="2"/>
        </w:numPr>
      </w:pPr>
      <w:r>
        <w:rPr>
          <w:rFonts w:ascii="Arial" w:cs="Arial" w:eastAsia="Arial" w:hAnsi="Arial"/>
          <w:color w:val="404040"/>
          <w:sz w:val="22"/>
          <w:szCs w:val="22"/>
        </w:rPr>
        <w:t xml:space="preserve">Les données sont traitees de maniere securisee et conformes a la Loi 25</w:t>
      </w:r>
    </w:p>
    <w:p>
      <w:pPr>
        <w:pStyle w:val="ListParagraph"/>
        <w:numPr>
          <w:ilvl w:val="0"/>
          <w:numId w:val="2"/>
        </w:numPr>
      </w:pPr>
      <w:r>
        <w:rPr>
          <w:rFonts w:ascii="Arial" w:cs="Arial" w:eastAsia="Arial" w:hAnsi="Arial"/>
          <w:color w:val="404040"/>
          <w:sz w:val="22"/>
          <w:szCs w:val="22"/>
        </w:rPr>
        <w:t xml:space="preserve">Les personnes affectees sont informees et supportées</w:t>
      </w:r>
    </w:p>
    <w:p>
      <w:pPr>
        <w:pStyle w:val="ListParagraph"/>
        <w:numPr>
          <w:ilvl w:val="0"/>
          <w:numId w:val="2"/>
        </w:numPr>
      </w:pPr>
      <w:r>
        <w:rPr>
          <w:rFonts w:ascii="Arial" w:cs="Arial" w:eastAsia="Arial" w:hAnsi="Arial"/>
          <w:color w:val="404040"/>
          <w:sz w:val="22"/>
          <w:szCs w:val="22"/>
        </w:rPr>
        <w:t xml:space="preserve">Les systèmes dependants sont migres ou arretes correctement</w:t>
      </w:r>
    </w:p>
    <w:p>
      <w:pPr>
        <w:pStyle w:val="ListParagraph"/>
        <w:numPr>
          <w:ilvl w:val="0"/>
          <w:numId w:val="2"/>
        </w:numPr>
      </w:pPr>
      <w:r>
        <w:rPr>
          <w:rFonts w:ascii="Arial" w:cs="Arial" w:eastAsia="Arial" w:hAnsi="Arial"/>
          <w:color w:val="404040"/>
          <w:sz w:val="22"/>
          <w:szCs w:val="22"/>
        </w:rPr>
        <w:t xml:space="preserve">La documentation et l'histoire du système sont archivees</w:t>
      </w:r>
    </w:p>
    <w:p>
      <w:pPr>
        <w:pStyle w:val="ListParagraph"/>
        <w:numPr>
          <w:ilvl w:val="0"/>
          <w:numId w:val="2"/>
        </w:numPr>
      </w:pPr>
      <w:r>
        <w:rPr>
          <w:rFonts w:ascii="Arial" w:cs="Arial" w:eastAsia="Arial" w:hAnsi="Arial"/>
          <w:color w:val="404040"/>
          <w:sz w:val="22"/>
          <w:szCs w:val="22"/>
        </w:rPr>
        <w:t xml:space="preserve">Une post-mortem capture les apprentissages</w:t>
      </w:r>
    </w:p>
    <w:p>
      <w:pPr>
        <w:pStyle w:val="Heading2"/>
      </w:pPr>
      <w:r>
        <w:t xml:space="preserve">Raisons de retrait</w:t>
      </w:r>
    </w:p>
    <w:p>
      <w:r>
        <w:rPr>
          <w:rFonts w:ascii="Arial" w:cs="Arial" w:eastAsia="Arial" w:hAnsi="Arial"/>
          <w:color w:val="404040"/>
          <w:sz w:val="22"/>
          <w:szCs w:val="22"/>
        </w:rPr>
        <w:t xml:space="preserve">Un système IA peut être retire pour diverses raisons :</w:t>
      </w:r>
    </w:p>
    <w:p>
      <w:pPr>
        <w:pStyle w:val="ListParagraph"/>
        <w:numPr>
          <w:ilvl w:val="0"/>
          <w:numId w:val="2"/>
        </w:numPr>
      </w:pPr>
      <w:r>
        <w:rPr>
          <w:rFonts w:ascii="Arial" w:cs="Arial" w:eastAsia="Arial" w:hAnsi="Arial"/>
          <w:color w:val="404040"/>
          <w:sz w:val="22"/>
          <w:szCs w:val="22"/>
        </w:rPr>
        <w:t xml:space="preserve">Fin de vie planifiee : la technologie ou l'approche est obsolete</w:t>
      </w:r>
    </w:p>
    <w:p>
      <w:pPr>
        <w:pStyle w:val="ListParagraph"/>
        <w:numPr>
          <w:ilvl w:val="0"/>
          <w:numId w:val="2"/>
        </w:numPr>
      </w:pPr>
      <w:r>
        <w:rPr>
          <w:rFonts w:ascii="Arial" w:cs="Arial" w:eastAsia="Arial" w:hAnsi="Arial"/>
          <w:color w:val="404040"/>
          <w:sz w:val="22"/>
          <w:szCs w:val="22"/>
        </w:rPr>
        <w:t xml:space="preserve">Transition de système : remplacement par une version amelioree</w:t>
      </w:r>
    </w:p>
    <w:p>
      <w:pPr>
        <w:pStyle w:val="ListParagraph"/>
        <w:numPr>
          <w:ilvl w:val="0"/>
          <w:numId w:val="2"/>
        </w:numPr>
      </w:pPr>
      <w:r>
        <w:rPr>
          <w:rFonts w:ascii="Arial" w:cs="Arial" w:eastAsia="Arial" w:hAnsi="Arial"/>
          <w:color w:val="404040"/>
          <w:sz w:val="22"/>
          <w:szCs w:val="22"/>
        </w:rPr>
        <w:t xml:space="preserve">Non-conformité : le système ne peut être remis en conformité de maniere viable</w:t>
      </w:r>
    </w:p>
    <w:p>
      <w:pPr>
        <w:pStyle w:val="ListParagraph"/>
        <w:numPr>
          <w:ilvl w:val="0"/>
          <w:numId w:val="2"/>
        </w:numPr>
      </w:pPr>
      <w:r>
        <w:rPr>
          <w:rFonts w:ascii="Arial" w:cs="Arial" w:eastAsia="Arial" w:hAnsi="Arial"/>
          <w:color w:val="404040"/>
          <w:sz w:val="22"/>
          <w:szCs w:val="22"/>
        </w:rPr>
        <w:t xml:space="preserve">Performance insuffisante : le système n'atteint pas les objectifs apres ameliorations</w:t>
      </w:r>
    </w:p>
    <w:p>
      <w:pPr>
        <w:pStyle w:val="ListParagraph"/>
        <w:numPr>
          <w:ilvl w:val="0"/>
          <w:numId w:val="2"/>
        </w:numPr>
      </w:pPr>
      <w:r>
        <w:rPr>
          <w:rFonts w:ascii="Arial" w:cs="Arial" w:eastAsia="Arial" w:hAnsi="Arial"/>
          <w:color w:val="404040"/>
          <w:sz w:val="22"/>
          <w:szCs w:val="22"/>
        </w:rPr>
        <w:t xml:space="preserve">Risque inacceptable : un biais ou un risque de sécurité non remediable</w:t>
      </w:r>
    </w:p>
    <w:p>
      <w:pPr>
        <w:pStyle w:val="ListParagraph"/>
        <w:numPr>
          <w:ilvl w:val="0"/>
          <w:numId w:val="2"/>
        </w:numPr>
      </w:pPr>
      <w:r>
        <w:rPr>
          <w:rFonts w:ascii="Arial" w:cs="Arial" w:eastAsia="Arial" w:hAnsi="Arial"/>
          <w:color w:val="404040"/>
          <w:sz w:val="22"/>
          <w:szCs w:val="22"/>
        </w:rPr>
        <w:t xml:space="preserve">décision strategique : la fonction supportee par l'IA n'est plus prioritaire</w:t>
      </w:r>
    </w:p>
    <w:p>
      <w:pPr>
        <w:spacing w:before="200"/>
      </w:pPr>
    </w:p>
    <w:p>
      <w:pPr>
        <w:pStyle w:val="Heading1"/>
      </w:pPr>
      <w:r>
        <w:t xml:space="preserve">cadre de décision pour le retrait</w:t>
      </w:r>
    </w:p>
    <w:p>
      <w:r>
        <w:rPr>
          <w:rFonts w:ascii="Arial" w:cs="Arial" w:eastAsia="Arial" w:hAnsi="Arial"/>
          <w:color w:val="404040"/>
          <w:sz w:val="22"/>
          <w:szCs w:val="22"/>
        </w:rPr>
        <w:t xml:space="preserve">La décision de retirer un système IA est approuvée par :</w:t>
      </w:r>
    </w:p>
    <w:p>
      <w:pPr>
        <w:pStyle w:val="ListParagraph"/>
        <w:numPr>
          <w:ilvl w:val="0"/>
          <w:numId w:val="2"/>
        </w:numPr>
      </w:pPr>
      <w:r>
        <w:rPr>
          <w:rFonts w:ascii="Arial" w:cs="Arial" w:eastAsia="Arial" w:hAnsi="Arial"/>
          <w:color w:val="404040"/>
          <w:sz w:val="22"/>
          <w:szCs w:val="22"/>
        </w:rPr>
        <w:t xml:space="preserve">Le propriétaire du système (demandeur)</w:t>
      </w:r>
    </w:p>
    <w:p>
      <w:pPr>
        <w:pStyle w:val="ListParagraph"/>
        <w:numPr>
          <w:ilvl w:val="0"/>
          <w:numId w:val="2"/>
        </w:numPr>
      </w:pPr>
      <w:r>
        <w:rPr>
          <w:rFonts w:ascii="Arial" w:cs="Arial" w:eastAsia="Arial" w:hAnsi="Arial"/>
          <w:color w:val="404040"/>
          <w:sz w:val="22"/>
          <w:szCs w:val="22"/>
        </w:rPr>
        <w:t xml:space="preserve">Le responsable IA (évaluation technique et de gouvernance)</w:t>
      </w:r>
    </w:p>
    <w:p>
      <w:pPr>
        <w:pStyle w:val="ListParagraph"/>
        <w:numPr>
          <w:ilvl w:val="0"/>
          <w:numId w:val="2"/>
        </w:numPr>
      </w:pPr>
      <w:r>
        <w:rPr>
          <w:rFonts w:ascii="Arial" w:cs="Arial" w:eastAsia="Arial" w:hAnsi="Arial"/>
          <w:color w:val="404040"/>
          <w:sz w:val="22"/>
          <w:szCs w:val="22"/>
        </w:rPr>
        <w:t xml:space="preserve">Le DPO (implications de confidentialité)</w:t>
      </w:r>
    </w:p>
    <w:p>
      <w:pPr>
        <w:pStyle w:val="ListParagraph"/>
        <w:numPr>
          <w:ilvl w:val="0"/>
          <w:numId w:val="2"/>
        </w:numPr>
      </w:pPr>
      <w:r>
        <w:rPr>
          <w:rFonts w:ascii="Arial" w:cs="Arial" w:eastAsia="Arial" w:hAnsi="Arial"/>
          <w:color w:val="404040"/>
          <w:sz w:val="22"/>
          <w:szCs w:val="22"/>
        </w:rPr>
        <w:t xml:space="preserve">Le comite de gouvernance IA (décision strategique)</w:t>
      </w:r>
    </w:p>
    <w:p>
      <w:r>
        <w:rPr>
          <w:rFonts w:ascii="Arial" w:cs="Arial" w:eastAsia="Arial" w:hAnsi="Arial"/>
          <w:color w:val="404040"/>
          <w:sz w:val="22"/>
          <w:szCs w:val="22"/>
        </w:rPr>
        <w:t xml:space="preserve">Une analyse d'impact doit être effectuée pour evaluer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Aspect</w:t>
            </w:r>
          </w:p>
        </w:tc>
        <w:tc>
          <w:tcPr>
            <w:tcW w:type="dxa" w:w="7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Questions a adresser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opérationnel</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Quels processus sont affectes ? Comment continuer les opérations ? Faut-il un process fallback manuel ?</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Combien de données personnelles doivent être traitees ? Combien de personnes sont affectees ?</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Stakeholders</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Quels employéés, clients ou partenaires sont affectes ? Comment les informer ?</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légales</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obligations de notification ? Conservation de données requise pour audit ?</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Timing</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Quel est le calendrier ideal pour le retrait minimisant les disruptions ?</w:t>
            </w:r>
          </w:p>
        </w:tc>
      </w:tr>
    </w:tbl>
    <w:p>
      <w:pPr>
        <w:spacing w:before="200"/>
      </w:pPr>
    </w:p>
    <w:p>
      <w:pPr>
        <w:pStyle w:val="Heading1"/>
      </w:pPr>
      <w:r>
        <w:t xml:space="preserve">Phases du processus de retrait</w:t>
      </w:r>
    </w:p>
    <w:p>
      <w:pPr>
        <w:pStyle w:val="Heading2"/>
      </w:pPr>
      <w:r>
        <w:t xml:space="preserve">Phase 1 - Planification et approbation (Semaine 1-2)</w:t>
      </w:r>
    </w:p>
    <w:p>
      <w:r>
        <w:rPr>
          <w:rFonts w:ascii="Arial" w:cs="Arial" w:eastAsia="Arial" w:hAnsi="Arial"/>
          <w:color w:val="404040"/>
          <w:sz w:val="22"/>
          <w:szCs w:val="22"/>
        </w:rPr>
        <w:t xml:space="preserve">La phase de planification inclut :</w:t>
      </w:r>
    </w:p>
    <w:p>
      <w:pPr>
        <w:pStyle w:val="ListParagraph"/>
        <w:numPr>
          <w:ilvl w:val="0"/>
          <w:numId w:val="3"/>
        </w:numPr>
      </w:pPr>
      <w:r>
        <w:rPr>
          <w:rFonts w:ascii="Arial" w:cs="Arial" w:eastAsia="Arial" w:hAnsi="Arial"/>
          <w:color w:val="404040"/>
          <w:sz w:val="22"/>
          <w:szCs w:val="22"/>
        </w:rPr>
        <w:t xml:space="preserve">Soumission de la demande de retrait avec justification</w:t>
      </w:r>
    </w:p>
    <w:p>
      <w:pPr>
        <w:pStyle w:val="ListParagraph"/>
        <w:numPr>
          <w:ilvl w:val="0"/>
          <w:numId w:val="3"/>
        </w:numPr>
      </w:pPr>
      <w:r>
        <w:rPr>
          <w:rFonts w:ascii="Arial" w:cs="Arial" w:eastAsia="Arial" w:hAnsi="Arial"/>
          <w:color w:val="404040"/>
          <w:sz w:val="22"/>
          <w:szCs w:val="22"/>
        </w:rPr>
        <w:t xml:space="preserve">évaluation d'impact par les parties prenantes</w:t>
      </w:r>
    </w:p>
    <w:p>
      <w:pPr>
        <w:pStyle w:val="ListParagraph"/>
        <w:numPr>
          <w:ilvl w:val="0"/>
          <w:numId w:val="3"/>
        </w:numPr>
      </w:pPr>
      <w:r>
        <w:rPr>
          <w:rFonts w:ascii="Arial" w:cs="Arial" w:eastAsia="Arial" w:hAnsi="Arial"/>
          <w:color w:val="404040"/>
          <w:sz w:val="22"/>
          <w:szCs w:val="22"/>
        </w:rPr>
        <w:t xml:space="preserve">Approbation par le comite de gouvernance IA</w:t>
      </w:r>
    </w:p>
    <w:p>
      <w:pPr>
        <w:pStyle w:val="ListParagraph"/>
        <w:numPr>
          <w:ilvl w:val="0"/>
          <w:numId w:val="3"/>
        </w:numPr>
      </w:pPr>
      <w:r>
        <w:rPr>
          <w:rFonts w:ascii="Arial" w:cs="Arial" w:eastAsia="Arial" w:hAnsi="Arial"/>
          <w:color w:val="404040"/>
          <w:sz w:val="22"/>
          <w:szCs w:val="22"/>
        </w:rPr>
        <w:t xml:space="preserve">Constitution de l'équipe de retrait</w:t>
      </w:r>
    </w:p>
    <w:p>
      <w:pPr>
        <w:pStyle w:val="ListParagraph"/>
        <w:numPr>
          <w:ilvl w:val="0"/>
          <w:numId w:val="3"/>
        </w:numPr>
      </w:pPr>
      <w:r>
        <w:rPr>
          <w:rFonts w:ascii="Arial" w:cs="Arial" w:eastAsia="Arial" w:hAnsi="Arial"/>
          <w:color w:val="404040"/>
          <w:sz w:val="22"/>
          <w:szCs w:val="22"/>
        </w:rPr>
        <w:t xml:space="preserve">Etablissement du calendrier detaille de desactivation</w:t>
      </w:r>
    </w:p>
    <w:p>
      <w:pPr>
        <w:pStyle w:val="ListParagraph"/>
        <w:numPr>
          <w:ilvl w:val="0"/>
          <w:numId w:val="3"/>
        </w:numPr>
      </w:pPr>
      <w:r>
        <w:rPr>
          <w:rFonts w:ascii="Arial" w:cs="Arial" w:eastAsia="Arial" w:hAnsi="Arial"/>
          <w:color w:val="404040"/>
          <w:sz w:val="22"/>
          <w:szCs w:val="22"/>
        </w:rPr>
        <w:t xml:space="preserve">Communication preliminaire aux parties internes impactees</w:t>
      </w:r>
    </w:p>
    <w:p>
      <w:pPr>
        <w:pStyle w:val="Heading2"/>
      </w:pPr>
      <w:r>
        <w:t xml:space="preserve">Phase 2 - Preparation (Semaine 3-4)</w:t>
      </w:r>
    </w:p>
    <w:p>
      <w:r>
        <w:rPr>
          <w:rFonts w:ascii="Arial" w:cs="Arial" w:eastAsia="Arial" w:hAnsi="Arial"/>
          <w:color w:val="404040"/>
          <w:sz w:val="22"/>
          <w:szCs w:val="22"/>
        </w:rPr>
        <w:t xml:space="preserve">Les preparations techniques et operationnelles :</w:t>
      </w:r>
    </w:p>
    <w:p>
      <w:pPr>
        <w:pStyle w:val="ListParagraph"/>
        <w:numPr>
          <w:ilvl w:val="0"/>
          <w:numId w:val="3"/>
        </w:numPr>
      </w:pPr>
      <w:r>
        <w:rPr>
          <w:rFonts w:ascii="Arial" w:cs="Arial" w:eastAsia="Arial" w:hAnsi="Arial"/>
          <w:color w:val="404040"/>
          <w:sz w:val="22"/>
          <w:szCs w:val="22"/>
        </w:rPr>
        <w:t xml:space="preserve">Configuration d'un process fallback manuel ou transfert vers nouveau système</w:t>
      </w:r>
    </w:p>
    <w:p>
      <w:pPr>
        <w:pStyle w:val="ListParagraph"/>
        <w:numPr>
          <w:ilvl w:val="0"/>
          <w:numId w:val="3"/>
        </w:numPr>
      </w:pPr>
      <w:r>
        <w:rPr>
          <w:rFonts w:ascii="Arial" w:cs="Arial" w:eastAsia="Arial" w:hAnsi="Arial"/>
          <w:color w:val="404040"/>
          <w:sz w:val="22"/>
          <w:szCs w:val="22"/>
        </w:rPr>
        <w:t xml:space="preserve">Preparation des données pour migration ou archivage</w:t>
      </w:r>
    </w:p>
    <w:p>
      <w:pPr>
        <w:pStyle w:val="ListParagraph"/>
        <w:numPr>
          <w:ilvl w:val="0"/>
          <w:numId w:val="3"/>
        </w:numPr>
      </w:pPr>
      <w:r>
        <w:rPr>
          <w:rFonts w:ascii="Arial" w:cs="Arial" w:eastAsia="Arial" w:hAnsi="Arial"/>
          <w:color w:val="404040"/>
          <w:sz w:val="22"/>
          <w:szCs w:val="22"/>
        </w:rPr>
        <w:t xml:space="preserve">Tests du processus de replacement avec groupes pilotes</w:t>
      </w:r>
    </w:p>
    <w:p>
      <w:pPr>
        <w:pStyle w:val="ListParagraph"/>
        <w:numPr>
          <w:ilvl w:val="0"/>
          <w:numId w:val="3"/>
        </w:numPr>
      </w:pPr>
      <w:r>
        <w:rPr>
          <w:rFonts w:ascii="Arial" w:cs="Arial" w:eastAsia="Arial" w:hAnsi="Arial"/>
          <w:color w:val="404040"/>
          <w:sz w:val="22"/>
          <w:szCs w:val="22"/>
        </w:rPr>
        <w:t xml:space="preserve">Formation du personnel aux nouveaux processus</w:t>
      </w:r>
    </w:p>
    <w:p>
      <w:pPr>
        <w:pStyle w:val="ListParagraph"/>
        <w:numPr>
          <w:ilvl w:val="0"/>
          <w:numId w:val="3"/>
        </w:numPr>
      </w:pPr>
      <w:r>
        <w:rPr>
          <w:rFonts w:ascii="Arial" w:cs="Arial" w:eastAsia="Arial" w:hAnsi="Arial"/>
          <w:color w:val="404040"/>
          <w:sz w:val="22"/>
          <w:szCs w:val="22"/>
        </w:rPr>
        <w:t xml:space="preserve">Mise en place des systèmes d'archivage et de backup</w:t>
      </w:r>
    </w:p>
    <w:p>
      <w:pPr>
        <w:pStyle w:val="ListParagraph"/>
        <w:numPr>
          <w:ilvl w:val="0"/>
          <w:numId w:val="3"/>
        </w:numPr>
      </w:pPr>
      <w:r>
        <w:rPr>
          <w:rFonts w:ascii="Arial" w:cs="Arial" w:eastAsia="Arial" w:hAnsi="Arial"/>
          <w:color w:val="404040"/>
          <w:sz w:val="22"/>
          <w:szCs w:val="22"/>
        </w:rPr>
        <w:t xml:space="preserve">Notification officielle aux clients ou utilisateurs (si applicable)</w:t>
      </w:r>
    </w:p>
    <w:p>
      <w:pPr>
        <w:pStyle w:val="Heading2"/>
      </w:pPr>
      <w:r>
        <w:t xml:space="preserve">Phase 3 - Migration et transition (Semaine 5-8)</w:t>
      </w:r>
    </w:p>
    <w:p>
      <w:r>
        <w:rPr>
          <w:rFonts w:ascii="Arial" w:cs="Arial" w:eastAsia="Arial" w:hAnsi="Arial"/>
          <w:color w:val="404040"/>
          <w:sz w:val="22"/>
          <w:szCs w:val="22"/>
        </w:rPr>
        <w:t xml:space="preserve">La transition du système retire :</w:t>
      </w:r>
    </w:p>
    <w:p>
      <w:pPr>
        <w:pStyle w:val="ListParagraph"/>
        <w:numPr>
          <w:ilvl w:val="0"/>
          <w:numId w:val="3"/>
        </w:numPr>
      </w:pPr>
      <w:r>
        <w:rPr>
          <w:rFonts w:ascii="Arial" w:cs="Arial" w:eastAsia="Arial" w:hAnsi="Arial"/>
          <w:color w:val="404040"/>
          <w:sz w:val="22"/>
          <w:szCs w:val="22"/>
        </w:rPr>
        <w:t xml:space="preserve">Migration graduelle du trafic vers le processus fallback</w:t>
      </w:r>
    </w:p>
    <w:p>
      <w:pPr>
        <w:pStyle w:val="ListParagraph"/>
        <w:numPr>
          <w:ilvl w:val="0"/>
          <w:numId w:val="3"/>
        </w:numPr>
      </w:pPr>
      <w:r>
        <w:rPr>
          <w:rFonts w:ascii="Arial" w:cs="Arial" w:eastAsia="Arial" w:hAnsi="Arial"/>
          <w:color w:val="404040"/>
          <w:sz w:val="22"/>
          <w:szCs w:val="22"/>
        </w:rPr>
        <w:t xml:space="preserve">Verification que les decisions ou prédictions anterieures sont accessibles pour audit</w:t>
      </w:r>
    </w:p>
    <w:p>
      <w:pPr>
        <w:pStyle w:val="ListParagraph"/>
        <w:numPr>
          <w:ilvl w:val="0"/>
          <w:numId w:val="3"/>
        </w:numPr>
      </w:pPr>
      <w:r>
        <w:rPr>
          <w:rFonts w:ascii="Arial" w:cs="Arial" w:eastAsia="Arial" w:hAnsi="Arial"/>
          <w:color w:val="404040"/>
          <w:sz w:val="22"/>
          <w:szCs w:val="22"/>
        </w:rPr>
        <w:t xml:space="preserve">Traitement des données personnelles : anonymisation ou securisation</w:t>
      </w:r>
    </w:p>
    <w:p>
      <w:pPr>
        <w:pStyle w:val="ListParagraph"/>
        <w:numPr>
          <w:ilvl w:val="0"/>
          <w:numId w:val="3"/>
        </w:numPr>
      </w:pPr>
      <w:r>
        <w:rPr>
          <w:rFonts w:ascii="Arial" w:cs="Arial" w:eastAsia="Arial" w:hAnsi="Arial"/>
          <w:color w:val="404040"/>
          <w:sz w:val="22"/>
          <w:szCs w:val="22"/>
        </w:rPr>
        <w:t xml:space="preserve">Desactivation progressive du système IA</w:t>
      </w:r>
    </w:p>
    <w:p>
      <w:pPr>
        <w:pStyle w:val="ListParagraph"/>
        <w:numPr>
          <w:ilvl w:val="0"/>
          <w:numId w:val="3"/>
        </w:numPr>
      </w:pPr>
      <w:r>
        <w:rPr>
          <w:rFonts w:ascii="Arial" w:cs="Arial" w:eastAsia="Arial" w:hAnsi="Arial"/>
          <w:color w:val="404040"/>
          <w:sz w:val="22"/>
          <w:szCs w:val="22"/>
        </w:rPr>
        <w:t xml:space="preserve">Monitoring etroit pour detecter les anomalies</w:t>
      </w:r>
    </w:p>
    <w:p>
      <w:pPr>
        <w:pStyle w:val="ListParagraph"/>
        <w:numPr>
          <w:ilvl w:val="0"/>
          <w:numId w:val="3"/>
        </w:numPr>
      </w:pPr>
      <w:r>
        <w:rPr>
          <w:rFonts w:ascii="Arial" w:cs="Arial" w:eastAsia="Arial" w:hAnsi="Arial"/>
          <w:color w:val="404040"/>
          <w:sz w:val="22"/>
          <w:szCs w:val="22"/>
        </w:rPr>
        <w:t xml:space="preserve">Support renforce du personnel utilisateur</w:t>
      </w:r>
    </w:p>
    <w:p>
      <w:pPr>
        <w:pStyle w:val="Heading2"/>
      </w:pPr>
      <w:r>
        <w:t xml:space="preserve">Phase 4 - Archivage (Semaine 9-10)</w:t>
      </w:r>
    </w:p>
    <w:p>
      <w:r>
        <w:rPr>
          <w:rFonts w:ascii="Arial" w:cs="Arial" w:eastAsia="Arial" w:hAnsi="Arial"/>
          <w:color w:val="404040"/>
          <w:sz w:val="22"/>
          <w:szCs w:val="22"/>
        </w:rPr>
        <w:t xml:space="preserve">Une fois le système completement desactive :</w:t>
      </w:r>
    </w:p>
    <w:p>
      <w:pPr>
        <w:pStyle w:val="ListParagraph"/>
        <w:numPr>
          <w:ilvl w:val="0"/>
          <w:numId w:val="3"/>
        </w:numPr>
      </w:pPr>
      <w:r>
        <w:rPr>
          <w:rFonts w:ascii="Arial" w:cs="Arial" w:eastAsia="Arial" w:hAnsi="Arial"/>
          <w:color w:val="404040"/>
          <w:sz w:val="22"/>
          <w:szCs w:val="22"/>
        </w:rPr>
        <w:t xml:space="preserve">Finalisation de l'archivage des données (format securise, vault protege)</w:t>
      </w:r>
    </w:p>
    <w:p>
      <w:pPr>
        <w:pStyle w:val="ListParagraph"/>
        <w:numPr>
          <w:ilvl w:val="0"/>
          <w:numId w:val="3"/>
        </w:numPr>
      </w:pPr>
      <w:r>
        <w:rPr>
          <w:rFonts w:ascii="Arial" w:cs="Arial" w:eastAsia="Arial" w:hAnsi="Arial"/>
          <w:color w:val="404040"/>
          <w:sz w:val="22"/>
          <w:szCs w:val="22"/>
        </w:rPr>
        <w:t xml:space="preserve">Documentation complete du système (code, modèle, données, configuration)</w:t>
      </w:r>
    </w:p>
    <w:p>
      <w:pPr>
        <w:pStyle w:val="ListParagraph"/>
        <w:numPr>
          <w:ilvl w:val="0"/>
          <w:numId w:val="3"/>
        </w:numPr>
      </w:pPr>
      <w:r>
        <w:rPr>
          <w:rFonts w:ascii="Arial" w:cs="Arial" w:eastAsia="Arial" w:hAnsi="Arial"/>
          <w:color w:val="404040"/>
          <w:sz w:val="22"/>
          <w:szCs w:val="22"/>
        </w:rPr>
        <w:t xml:space="preserve">Verification de l'intégrité des données archivees</w:t>
      </w:r>
    </w:p>
    <w:p>
      <w:pPr>
        <w:pStyle w:val="ListParagraph"/>
        <w:numPr>
          <w:ilvl w:val="0"/>
          <w:numId w:val="3"/>
        </w:numPr>
      </w:pPr>
      <w:r>
        <w:rPr>
          <w:rFonts w:ascii="Arial" w:cs="Arial" w:eastAsia="Arial" w:hAnsi="Arial"/>
          <w:color w:val="404040"/>
          <w:sz w:val="22"/>
          <w:szCs w:val="22"/>
        </w:rPr>
        <w:t xml:space="preserve">Verouillage de l'accès aux données d'operation)</w:t>
      </w:r>
    </w:p>
    <w:p>
      <w:pPr>
        <w:pStyle w:val="ListParagraph"/>
        <w:numPr>
          <w:ilvl w:val="0"/>
          <w:numId w:val="3"/>
        </w:numPr>
      </w:pPr>
      <w:r>
        <w:rPr>
          <w:rFonts w:ascii="Arial" w:cs="Arial" w:eastAsia="Arial" w:hAnsi="Arial"/>
          <w:color w:val="404040"/>
          <w:sz w:val="22"/>
          <w:szCs w:val="22"/>
        </w:rPr>
        <w:t xml:space="preserve">Suppression securisee des données non requises (selon Loi 25)</w:t>
      </w:r>
    </w:p>
    <w:p>
      <w:pPr>
        <w:pStyle w:val="ListParagraph"/>
        <w:numPr>
          <w:ilvl w:val="0"/>
          <w:numId w:val="3"/>
        </w:numPr>
      </w:pPr>
      <w:r>
        <w:rPr>
          <w:rFonts w:ascii="Arial" w:cs="Arial" w:eastAsia="Arial" w:hAnsi="Arial"/>
          <w:color w:val="404040"/>
          <w:sz w:val="22"/>
          <w:szCs w:val="22"/>
        </w:rPr>
        <w:t xml:space="preserve">Transfert de l'archivage au team d'archivage permanent</w:t>
      </w:r>
    </w:p>
    <w:p>
      <w:pPr>
        <w:pStyle w:val="Heading2"/>
      </w:pPr>
      <w:r>
        <w:t xml:space="preserve">Phase 5 - Post-mortem et cloture (Semaine 11-12)</w:t>
      </w:r>
    </w:p>
    <w:p>
      <w:r>
        <w:rPr>
          <w:rFonts w:ascii="Arial" w:cs="Arial" w:eastAsia="Arial" w:hAnsi="Arial"/>
          <w:color w:val="404040"/>
          <w:sz w:val="22"/>
          <w:szCs w:val="22"/>
        </w:rPr>
        <w:t xml:space="preserve">L'apprentissage et la cloture :</w:t>
      </w:r>
    </w:p>
    <w:p>
      <w:pPr>
        <w:pStyle w:val="ListParagraph"/>
        <w:numPr>
          <w:ilvl w:val="0"/>
          <w:numId w:val="3"/>
        </w:numPr>
      </w:pPr>
      <w:r>
        <w:rPr>
          <w:rFonts w:ascii="Arial" w:cs="Arial" w:eastAsia="Arial" w:hAnsi="Arial"/>
          <w:color w:val="404040"/>
          <w:sz w:val="22"/>
          <w:szCs w:val="22"/>
        </w:rPr>
        <w:t xml:space="preserve">réunion de post-mortem avec tous les participants</w:t>
      </w:r>
    </w:p>
    <w:p>
      <w:pPr>
        <w:pStyle w:val="ListParagraph"/>
        <w:numPr>
          <w:ilvl w:val="0"/>
          <w:numId w:val="3"/>
        </w:numPr>
      </w:pPr>
      <w:r>
        <w:rPr>
          <w:rFonts w:ascii="Arial" w:cs="Arial" w:eastAsia="Arial" w:hAnsi="Arial"/>
          <w:color w:val="404040"/>
          <w:sz w:val="22"/>
          <w:szCs w:val="22"/>
        </w:rPr>
        <w:t xml:space="preserve">Documentation des résultats et des apprentissages</w:t>
      </w:r>
    </w:p>
    <w:p>
      <w:pPr>
        <w:pStyle w:val="ListParagraph"/>
        <w:numPr>
          <w:ilvl w:val="0"/>
          <w:numId w:val="3"/>
        </w:numPr>
      </w:pPr>
      <w:r>
        <w:rPr>
          <w:rFonts w:ascii="Arial" w:cs="Arial" w:eastAsia="Arial" w:hAnsi="Arial"/>
          <w:color w:val="404040"/>
          <w:sz w:val="22"/>
          <w:szCs w:val="22"/>
        </w:rPr>
        <w:t xml:space="preserve">Identification des points d'amelioration pour futurs retraits</w:t>
      </w:r>
    </w:p>
    <w:p>
      <w:pPr>
        <w:pStyle w:val="ListParagraph"/>
        <w:numPr>
          <w:ilvl w:val="0"/>
          <w:numId w:val="3"/>
        </w:numPr>
      </w:pPr>
      <w:r>
        <w:rPr>
          <w:rFonts w:ascii="Arial" w:cs="Arial" w:eastAsia="Arial" w:hAnsi="Arial"/>
          <w:color w:val="404040"/>
          <w:sz w:val="22"/>
          <w:szCs w:val="22"/>
        </w:rPr>
        <w:t xml:space="preserve">Rapport final a la direction</w:t>
      </w:r>
    </w:p>
    <w:p>
      <w:pPr>
        <w:pStyle w:val="ListParagraph"/>
        <w:numPr>
          <w:ilvl w:val="0"/>
          <w:numId w:val="3"/>
        </w:numPr>
      </w:pPr>
      <w:r>
        <w:rPr>
          <w:rFonts w:ascii="Arial" w:cs="Arial" w:eastAsia="Arial" w:hAnsi="Arial"/>
          <w:color w:val="404040"/>
          <w:sz w:val="22"/>
          <w:szCs w:val="22"/>
        </w:rPr>
        <w:t xml:space="preserve">Cloture officielle du système (retrait du registre d'actifs IA)</w:t>
      </w:r>
    </w:p>
    <w:p>
      <w:pPr>
        <w:spacing w:before="200"/>
      </w:pPr>
    </w:p>
    <w:p>
      <w:pPr>
        <w:pStyle w:val="Heading1"/>
      </w:pPr>
      <w:r>
        <w:t xml:space="preserve">gestion des données lors du retrait</w:t>
      </w:r>
    </w:p>
    <w:p>
      <w:r>
        <w:rPr>
          <w:rFonts w:ascii="Arial" w:cs="Arial" w:eastAsia="Arial" w:hAnsi="Arial"/>
          <w:color w:val="404040"/>
          <w:sz w:val="22"/>
          <w:szCs w:val="22"/>
        </w:rPr>
        <w:t xml:space="preserve">La Loi 25 impose des obligations specifiques lors du retrait d'un système utilisant des données personnelles :</w:t>
      </w:r>
    </w:p>
    <w:p>
      <w:pPr>
        <w:pStyle w:val="Heading2"/>
      </w:pPr>
      <w:r>
        <w:t xml:space="preserve">données d'entraînement</w:t>
      </w:r>
    </w:p>
    <w:p>
      <w:r>
        <w:rPr>
          <w:rFonts w:ascii="Arial" w:cs="Arial" w:eastAsia="Arial" w:hAnsi="Arial"/>
          <w:color w:val="404040"/>
          <w:sz w:val="22"/>
          <w:szCs w:val="22"/>
        </w:rPr>
        <w:t xml:space="preserve">Les données personnelles utilisées pour entrainer le modèle doivent être :</w:t>
      </w:r>
    </w:p>
    <w:p>
      <w:pPr>
        <w:pStyle w:val="ListParagraph"/>
        <w:numPr>
          <w:ilvl w:val="0"/>
          <w:numId w:val="2"/>
        </w:numPr>
      </w:pPr>
      <w:r>
        <w:rPr>
          <w:rFonts w:ascii="Arial" w:cs="Arial" w:eastAsia="Arial" w:hAnsi="Arial"/>
          <w:color w:val="404040"/>
          <w:sz w:val="22"/>
          <w:szCs w:val="22"/>
        </w:rPr>
        <w:t xml:space="preserve">Supprimees de maniere securisee (overwrite, deletion certifiee) sauf conservation legale</w:t>
      </w:r>
    </w:p>
    <w:p>
      <w:pPr>
        <w:pStyle w:val="ListParagraph"/>
        <w:numPr>
          <w:ilvl w:val="0"/>
          <w:numId w:val="2"/>
        </w:numPr>
      </w:pPr>
      <w:r>
        <w:rPr>
          <w:rFonts w:ascii="Arial" w:cs="Arial" w:eastAsia="Arial" w:hAnsi="Arial"/>
          <w:color w:val="404040"/>
          <w:sz w:val="22"/>
          <w:szCs w:val="22"/>
        </w:rPr>
        <w:t xml:space="preserve">Anonymisees si conservation requise pour research ou audit</w:t>
      </w:r>
    </w:p>
    <w:p>
      <w:pPr>
        <w:pStyle w:val="ListParagraph"/>
        <w:numPr>
          <w:ilvl w:val="0"/>
          <w:numId w:val="2"/>
        </w:numPr>
      </w:pPr>
      <w:r>
        <w:rPr>
          <w:rFonts w:ascii="Arial" w:cs="Arial" w:eastAsia="Arial" w:hAnsi="Arial"/>
          <w:color w:val="404040"/>
          <w:sz w:val="22"/>
          <w:szCs w:val="22"/>
        </w:rPr>
        <w:t xml:space="preserve">documentées : retention periode, raison de conservation, controles d'accès</w:t>
      </w:r>
    </w:p>
    <w:p>
      <w:pPr>
        <w:pStyle w:val="Heading2"/>
      </w:pPr>
      <w:r>
        <w:t xml:space="preserve">données operationnelles</w:t>
      </w:r>
    </w:p>
    <w:p>
      <w:r>
        <w:rPr>
          <w:rFonts w:ascii="Arial" w:cs="Arial" w:eastAsia="Arial" w:hAnsi="Arial"/>
          <w:color w:val="404040"/>
          <w:sz w:val="22"/>
          <w:szCs w:val="22"/>
        </w:rPr>
        <w:t xml:space="preserve">Les données personnelles traitees ou générées lors de l'operation du système :</w:t>
      </w:r>
    </w:p>
    <w:p>
      <w:pPr>
        <w:pStyle w:val="ListParagraph"/>
        <w:numPr>
          <w:ilvl w:val="0"/>
          <w:numId w:val="2"/>
        </w:numPr>
      </w:pPr>
      <w:r>
        <w:rPr>
          <w:rFonts w:ascii="Arial" w:cs="Arial" w:eastAsia="Arial" w:hAnsi="Arial"/>
          <w:color w:val="404040"/>
          <w:sz w:val="22"/>
          <w:szCs w:val="22"/>
        </w:rPr>
        <w:t xml:space="preserve">Supprimees si plus nécessaires pour les besoins opérationnels ou legaux</w:t>
      </w:r>
    </w:p>
    <w:p>
      <w:pPr>
        <w:pStyle w:val="ListParagraph"/>
        <w:numPr>
          <w:ilvl w:val="0"/>
          <w:numId w:val="2"/>
        </w:numPr>
      </w:pPr>
      <w:r>
        <w:rPr>
          <w:rFonts w:ascii="Arial" w:cs="Arial" w:eastAsia="Arial" w:hAnsi="Arial"/>
          <w:color w:val="404040"/>
          <w:sz w:val="22"/>
          <w:szCs w:val="22"/>
        </w:rPr>
        <w:t xml:space="preserve">Archivees en sécurité si retention nécessaire pour audit ou evidence</w:t>
      </w:r>
    </w:p>
    <w:p>
      <w:pPr>
        <w:pStyle w:val="ListParagraph"/>
        <w:numPr>
          <w:ilvl w:val="0"/>
          <w:numId w:val="2"/>
        </w:numPr>
      </w:pPr>
      <w:r>
        <w:rPr>
          <w:rFonts w:ascii="Arial" w:cs="Arial" w:eastAsia="Arial" w:hAnsi="Arial"/>
          <w:color w:val="404040"/>
          <w:sz w:val="22"/>
          <w:szCs w:val="22"/>
        </w:rPr>
        <w:t xml:space="preserve">Mentionner clairement la retention period dans la notice de confidentialité</w:t>
      </w:r>
    </w:p>
    <w:p>
      <w:pPr>
        <w:pStyle w:val="Heading2"/>
      </w:pPr>
      <w:r>
        <w:t xml:space="preserve">prédictions ou decisions stockees</w:t>
      </w:r>
    </w:p>
    <w:p>
      <w:r>
        <w:rPr>
          <w:rFonts w:ascii="Arial" w:cs="Arial" w:eastAsia="Arial" w:hAnsi="Arial"/>
          <w:color w:val="404040"/>
          <w:sz w:val="22"/>
          <w:szCs w:val="22"/>
        </w:rPr>
        <w:t xml:space="preserve">Les résultats (prédictions, decisions) du système :</w:t>
      </w:r>
    </w:p>
    <w:p>
      <w:pPr>
        <w:pStyle w:val="ListParagraph"/>
        <w:numPr>
          <w:ilvl w:val="0"/>
          <w:numId w:val="2"/>
        </w:numPr>
      </w:pPr>
      <w:r>
        <w:rPr>
          <w:rFonts w:ascii="Arial" w:cs="Arial" w:eastAsia="Arial" w:hAnsi="Arial"/>
          <w:color w:val="404040"/>
          <w:sz w:val="22"/>
          <w:szCs w:val="22"/>
        </w:rPr>
        <w:t xml:space="preserve">Conserves pour une periode definie (ex. 7 ans) si nécessaires pour audit ou contestation</w:t>
      </w:r>
    </w:p>
    <w:p>
      <w:pPr>
        <w:pStyle w:val="ListParagraph"/>
        <w:numPr>
          <w:ilvl w:val="0"/>
          <w:numId w:val="2"/>
        </w:numPr>
      </w:pPr>
      <w:r>
        <w:rPr>
          <w:rFonts w:ascii="Arial" w:cs="Arial" w:eastAsia="Arial" w:hAnsi="Arial"/>
          <w:color w:val="404040"/>
          <w:sz w:val="22"/>
          <w:szCs w:val="22"/>
        </w:rPr>
        <w:t xml:space="preserve">Accessibles aux personnes pour verifier et contester les decisions passees</w:t>
      </w:r>
    </w:p>
    <w:p>
      <w:pPr>
        <w:pStyle w:val="ListParagraph"/>
        <w:numPr>
          <w:ilvl w:val="0"/>
          <w:numId w:val="2"/>
        </w:numPr>
      </w:pPr>
      <w:r>
        <w:rPr>
          <w:rFonts w:ascii="Arial" w:cs="Arial" w:eastAsia="Arial" w:hAnsi="Arial"/>
          <w:color w:val="404040"/>
          <w:sz w:val="22"/>
          <w:szCs w:val="22"/>
        </w:rPr>
        <w:t xml:space="preserve">Archivés et protégés selon les standards de sécurité</w:t>
      </w:r>
    </w:p>
    <w:p>
      <w:pPr>
        <w:pStyle w:val="Heading2"/>
      </w:pPr>
      <w:r>
        <w:t xml:space="preserve">droits d'accès et de rectification</w:t>
      </w:r>
    </w:p>
    <w:p>
      <w:r>
        <w:rPr>
          <w:rFonts w:ascii="Arial" w:cs="Arial" w:eastAsia="Arial" w:hAnsi="Arial"/>
          <w:color w:val="404040"/>
          <w:sz w:val="22"/>
          <w:szCs w:val="22"/>
        </w:rPr>
        <w:t xml:space="preserve">Durant la periode de retrait :</w:t>
      </w:r>
    </w:p>
    <w:p>
      <w:pPr>
        <w:pStyle w:val="ListParagraph"/>
        <w:numPr>
          <w:ilvl w:val="0"/>
          <w:numId w:val="2"/>
        </w:numPr>
      </w:pPr>
      <w:r>
        <w:rPr>
          <w:rFonts w:ascii="Arial" w:cs="Arial" w:eastAsia="Arial" w:hAnsi="Arial"/>
          <w:color w:val="404040"/>
          <w:sz w:val="22"/>
          <w:szCs w:val="22"/>
        </w:rPr>
        <w:t xml:space="preserve">Les personnes peuvent encore exercer leurs droits d'accès (Loi 25)</w:t>
      </w:r>
    </w:p>
    <w:p>
      <w:pPr>
        <w:pStyle w:val="ListParagraph"/>
        <w:numPr>
          <w:ilvl w:val="0"/>
          <w:numId w:val="2"/>
        </w:numPr>
      </w:pPr>
      <w:r>
        <w:rPr>
          <w:rFonts w:ascii="Arial" w:cs="Arial" w:eastAsia="Arial" w:hAnsi="Arial"/>
          <w:color w:val="404040"/>
          <w:sz w:val="22"/>
          <w:szCs w:val="22"/>
        </w:rPr>
        <w:t xml:space="preserve">Les données doivent rester accessible pour exercer le droit de rectification</w:t>
      </w:r>
    </w:p>
    <w:p>
      <w:pPr>
        <w:pStyle w:val="ListParagraph"/>
        <w:numPr>
          <w:ilvl w:val="0"/>
          <w:numId w:val="2"/>
        </w:numPr>
      </w:pPr>
      <w:r>
        <w:rPr>
          <w:rFonts w:ascii="Arial" w:cs="Arial" w:eastAsia="Arial" w:hAnsi="Arial"/>
          <w:color w:val="404040"/>
          <w:sz w:val="22"/>
          <w:szCs w:val="22"/>
        </w:rPr>
        <w:t xml:space="preserve">Délai de grace de 30 jours apres retrait pour requetes tardives</w:t>
      </w:r>
    </w:p>
    <w:p>
      <w:pPr>
        <w:spacing w:before="200"/>
      </w:pPr>
    </w:p>
    <w:p>
      <w:pPr>
        <w:pStyle w:val="Heading1"/>
      </w:pPr>
      <w:r>
        <w:t xml:space="preserve">Communication du retrait</w:t>
      </w:r>
    </w:p>
    <w:p>
      <w:pPr>
        <w:pStyle w:val="Heading2"/>
      </w:pPr>
      <w:r>
        <w:t xml:space="preserve">Communication interne</w:t>
      </w:r>
    </w:p>
    <w:p>
      <w:r>
        <w:rPr>
          <w:rFonts w:ascii="Arial" w:cs="Arial" w:eastAsia="Arial" w:hAnsi="Arial"/>
          <w:color w:val="404040"/>
          <w:sz w:val="22"/>
          <w:szCs w:val="22"/>
        </w:rPr>
        <w:t xml:space="preserve">Les employéés doivent être informes :</w:t>
      </w:r>
    </w:p>
    <w:p>
      <w:pPr>
        <w:pStyle w:val="ListParagraph"/>
        <w:numPr>
          <w:ilvl w:val="0"/>
          <w:numId w:val="2"/>
        </w:numPr>
      </w:pPr>
      <w:r>
        <w:rPr>
          <w:rFonts w:ascii="Arial" w:cs="Arial" w:eastAsia="Arial" w:hAnsi="Arial"/>
          <w:color w:val="404040"/>
          <w:sz w:val="22"/>
          <w:szCs w:val="22"/>
        </w:rPr>
        <w:t xml:space="preserve">Annonce formelle : raison du retrait, calendrier, impact sur leur travail</w:t>
      </w:r>
    </w:p>
    <w:p>
      <w:pPr>
        <w:pStyle w:val="ListParagraph"/>
        <w:numPr>
          <w:ilvl w:val="0"/>
          <w:numId w:val="2"/>
        </w:numPr>
      </w:pPr>
      <w:r>
        <w:rPr>
          <w:rFonts w:ascii="Arial" w:cs="Arial" w:eastAsia="Arial" w:hAnsi="Arial"/>
          <w:color w:val="404040"/>
          <w:sz w:val="22"/>
          <w:szCs w:val="22"/>
        </w:rPr>
        <w:t xml:space="preserve">Formation : comment utilisér les nouveaux processus ou systèmes</w:t>
      </w:r>
    </w:p>
    <w:p>
      <w:pPr>
        <w:pStyle w:val="ListParagraph"/>
        <w:numPr>
          <w:ilvl w:val="0"/>
          <w:numId w:val="2"/>
        </w:numPr>
      </w:pPr>
      <w:r>
        <w:rPr>
          <w:rFonts w:ascii="Arial" w:cs="Arial" w:eastAsia="Arial" w:hAnsi="Arial"/>
          <w:color w:val="404040"/>
          <w:sz w:val="22"/>
          <w:szCs w:val="22"/>
        </w:rPr>
        <w:t xml:space="preserve">Support : assistance disponible pendant la transition</w:t>
      </w:r>
    </w:p>
    <w:p>
      <w:pPr>
        <w:pStyle w:val="ListParagraph"/>
        <w:numPr>
          <w:ilvl w:val="0"/>
          <w:numId w:val="2"/>
        </w:numPr>
      </w:pPr>
      <w:r>
        <w:rPr>
          <w:rFonts w:ascii="Arial" w:cs="Arial" w:eastAsia="Arial" w:hAnsi="Arial"/>
          <w:color w:val="404040"/>
          <w:sz w:val="22"/>
          <w:szCs w:val="22"/>
        </w:rPr>
        <w:t xml:space="preserve">Feedback : opportunite de poser des questions et exprimer des preoccupations</w:t>
      </w:r>
    </w:p>
    <w:p>
      <w:pPr>
        <w:pStyle w:val="Heading2"/>
      </w:pPr>
      <w:r>
        <w:t xml:space="preserve">Communication externe - clients</w:t>
      </w:r>
    </w:p>
    <w:p>
      <w:r>
        <w:rPr>
          <w:rFonts w:ascii="Arial" w:cs="Arial" w:eastAsia="Arial" w:hAnsi="Arial"/>
          <w:color w:val="404040"/>
          <w:sz w:val="22"/>
          <w:szCs w:val="22"/>
        </w:rPr>
        <w:t xml:space="preserve">Si le système retrait affectait directement les clients :</w:t>
      </w:r>
    </w:p>
    <w:p>
      <w:pPr>
        <w:pStyle w:val="ListParagraph"/>
        <w:numPr>
          <w:ilvl w:val="0"/>
          <w:numId w:val="2"/>
        </w:numPr>
      </w:pPr>
      <w:r>
        <w:rPr>
          <w:rFonts w:ascii="Arial" w:cs="Arial" w:eastAsia="Arial" w:hAnsi="Arial"/>
          <w:color w:val="404040"/>
          <w:sz w:val="22"/>
          <w:szCs w:val="22"/>
        </w:rPr>
        <w:t xml:space="preserve">Notification a l'avance : au moins 30 jours avant retrait</w:t>
      </w:r>
    </w:p>
    <w:p>
      <w:pPr>
        <w:pStyle w:val="ListParagraph"/>
        <w:numPr>
          <w:ilvl w:val="0"/>
          <w:numId w:val="2"/>
        </w:numPr>
      </w:pPr>
      <w:r>
        <w:rPr>
          <w:rFonts w:ascii="Arial" w:cs="Arial" w:eastAsia="Arial" w:hAnsi="Arial"/>
          <w:color w:val="404040"/>
          <w:sz w:val="22"/>
          <w:szCs w:val="22"/>
        </w:rPr>
        <w:t xml:space="preserve">Explication claire : pourquoi le système est retire, quoi utilisér a la place</w:t>
      </w:r>
    </w:p>
    <w:p>
      <w:pPr>
        <w:pStyle w:val="ListParagraph"/>
        <w:numPr>
          <w:ilvl w:val="0"/>
          <w:numId w:val="2"/>
        </w:numPr>
      </w:pPr>
      <w:r>
        <w:rPr>
          <w:rFonts w:ascii="Arial" w:cs="Arial" w:eastAsia="Arial" w:hAnsi="Arial"/>
          <w:color w:val="404040"/>
          <w:sz w:val="22"/>
          <w:szCs w:val="22"/>
        </w:rPr>
        <w:t xml:space="preserve">Garanties : assurance que les données sont traitees correctement</w:t>
      </w:r>
    </w:p>
    <w:p>
      <w:pPr>
        <w:pStyle w:val="ListParagraph"/>
        <w:numPr>
          <w:ilvl w:val="0"/>
          <w:numId w:val="2"/>
        </w:numPr>
      </w:pPr>
      <w:r>
        <w:rPr>
          <w:rFonts w:ascii="Arial" w:cs="Arial" w:eastAsia="Arial" w:hAnsi="Arial"/>
          <w:color w:val="404040"/>
          <w:sz w:val="22"/>
          <w:szCs w:val="22"/>
        </w:rPr>
        <w:t xml:space="preserve">Support : comment migrer ou adapter leur usage</w:t>
      </w:r>
    </w:p>
    <w:p>
      <w:pPr>
        <w:pStyle w:val="Heading2"/>
      </w:pPr>
      <w:r>
        <w:t xml:space="preserve">Communication legale et regulatoire</w:t>
      </w:r>
    </w:p>
    <w:p>
      <w:r>
        <w:rPr>
          <w:rFonts w:ascii="Arial" w:cs="Arial" w:eastAsia="Arial" w:hAnsi="Arial"/>
          <w:color w:val="404040"/>
          <w:sz w:val="22"/>
          <w:szCs w:val="22"/>
        </w:rPr>
        <w:t xml:space="preserve">Si requis par la reglementation :</w:t>
      </w:r>
    </w:p>
    <w:p>
      <w:pPr>
        <w:pStyle w:val="ListParagraph"/>
        <w:numPr>
          <w:ilvl w:val="0"/>
          <w:numId w:val="2"/>
        </w:numPr>
      </w:pPr>
      <w:r>
        <w:rPr>
          <w:rFonts w:ascii="Arial" w:cs="Arial" w:eastAsia="Arial" w:hAnsi="Arial"/>
          <w:color w:val="404040"/>
          <w:sz w:val="22"/>
          <w:szCs w:val="22"/>
        </w:rPr>
        <w:t xml:space="preserve">Notification a l'autorite (CAI Québec) si divulgation de données lors du retrait</w:t>
      </w:r>
    </w:p>
    <w:p>
      <w:pPr>
        <w:pStyle w:val="ListParagraph"/>
        <w:numPr>
          <w:ilvl w:val="0"/>
          <w:numId w:val="2"/>
        </w:numPr>
      </w:pPr>
      <w:r>
        <w:rPr>
          <w:rFonts w:ascii="Arial" w:cs="Arial" w:eastAsia="Arial" w:hAnsi="Arial"/>
          <w:color w:val="404040"/>
          <w:sz w:val="22"/>
          <w:szCs w:val="22"/>
        </w:rPr>
        <w:t xml:space="preserve">Notification aux partenaires ou sous-traitants affectes</w:t>
      </w:r>
    </w:p>
    <w:p>
      <w:pPr>
        <w:pStyle w:val="ListParagraph"/>
        <w:numPr>
          <w:ilvl w:val="0"/>
          <w:numId w:val="2"/>
        </w:numPr>
      </w:pPr>
      <w:r>
        <w:rPr>
          <w:rFonts w:ascii="Arial" w:cs="Arial" w:eastAsia="Arial" w:hAnsi="Arial"/>
          <w:color w:val="404040"/>
          <w:sz w:val="22"/>
          <w:szCs w:val="22"/>
        </w:rPr>
        <w:t xml:space="preserve">Documentation pour audit et demonstrer conformité</w:t>
      </w:r>
    </w:p>
    <w:p>
      <w:pPr>
        <w:spacing w:before="200"/>
      </w:pPr>
    </w:p>
    <w:p>
      <w:pPr>
        <w:pStyle w:val="Heading1"/>
      </w:pPr>
      <w:r>
        <w:t xml:space="preserve">Archivage et documentation</w:t>
      </w:r>
    </w:p>
    <w:p>
      <w:r>
        <w:rPr>
          <w:rFonts w:ascii="Arial" w:cs="Arial" w:eastAsia="Arial" w:hAnsi="Arial"/>
          <w:color w:val="404040"/>
          <w:sz w:val="22"/>
          <w:szCs w:val="22"/>
        </w:rPr>
        <w:t xml:space="preserve">Un système retire doit être completement documente pour les audits futurs :</w:t>
      </w:r>
    </w:p>
    <w:p>
      <w:pPr>
        <w:pStyle w:val="Heading2"/>
      </w:pPr>
      <w:r>
        <w:t xml:space="preserve">Documentation archivee</w:t>
      </w:r>
    </w:p>
    <w:p>
      <w:pPr>
        <w:pStyle w:val="ListParagraph"/>
        <w:numPr>
          <w:ilvl w:val="0"/>
          <w:numId w:val="2"/>
        </w:numPr>
      </w:pPr>
      <w:r>
        <w:rPr>
          <w:rFonts w:ascii="Arial" w:cs="Arial" w:eastAsia="Arial" w:hAnsi="Arial"/>
          <w:color w:val="404040"/>
          <w:sz w:val="22"/>
          <w:szCs w:val="22"/>
        </w:rPr>
        <w:t xml:space="preserve">Specification du système : description fonctionnelle, limitations, biais connus</w:t>
      </w:r>
    </w:p>
    <w:p>
      <w:pPr>
        <w:pStyle w:val="ListParagraph"/>
        <w:numPr>
          <w:ilvl w:val="0"/>
          <w:numId w:val="2"/>
        </w:numPr>
      </w:pPr>
      <w:r>
        <w:rPr>
          <w:rFonts w:ascii="Arial" w:cs="Arial" w:eastAsia="Arial" w:hAnsi="Arial"/>
          <w:color w:val="404040"/>
          <w:sz w:val="22"/>
          <w:szCs w:val="22"/>
        </w:rPr>
        <w:t xml:space="preserve">Architecture : design technique, composants, dépendances</w:t>
      </w:r>
    </w:p>
    <w:p>
      <w:pPr>
        <w:pStyle w:val="ListParagraph"/>
        <w:numPr>
          <w:ilvl w:val="0"/>
          <w:numId w:val="2"/>
        </w:numPr>
      </w:pPr>
      <w:r>
        <w:rPr>
          <w:rFonts w:ascii="Arial" w:cs="Arial" w:eastAsia="Arial" w:hAnsi="Arial"/>
          <w:color w:val="404040"/>
          <w:sz w:val="22"/>
          <w:szCs w:val="22"/>
        </w:rPr>
        <w:t xml:space="preserve">Code source : version finale avec commentaires expliquant les decisions clé</w:t>
      </w:r>
    </w:p>
    <w:p>
      <w:pPr>
        <w:pStyle w:val="ListParagraph"/>
        <w:numPr>
          <w:ilvl w:val="0"/>
          <w:numId w:val="2"/>
        </w:numPr>
      </w:pPr>
      <w:r>
        <w:rPr>
          <w:rFonts w:ascii="Arial" w:cs="Arial" w:eastAsia="Arial" w:hAnsi="Arial"/>
          <w:color w:val="404040"/>
          <w:sz w:val="22"/>
          <w:szCs w:val="22"/>
        </w:rPr>
        <w:t xml:space="preserve">modèle IA : poids du modèle, parametres, données d'entraînement metadata</w:t>
      </w:r>
    </w:p>
    <w:p>
      <w:pPr>
        <w:pStyle w:val="ListParagraph"/>
        <w:numPr>
          <w:ilvl w:val="0"/>
          <w:numId w:val="2"/>
        </w:numPr>
      </w:pPr>
      <w:r>
        <w:rPr>
          <w:rFonts w:ascii="Arial" w:cs="Arial" w:eastAsia="Arial" w:hAnsi="Arial"/>
          <w:color w:val="404040"/>
          <w:sz w:val="22"/>
          <w:szCs w:val="22"/>
        </w:rPr>
        <w:t xml:space="preserve">Tests et validation : résultats des tests de performance et equité</w:t>
      </w:r>
    </w:p>
    <w:p>
      <w:pPr>
        <w:pStyle w:val="ListParagraph"/>
        <w:numPr>
          <w:ilvl w:val="0"/>
          <w:numId w:val="2"/>
        </w:numPr>
      </w:pPr>
      <w:r>
        <w:rPr>
          <w:rFonts w:ascii="Arial" w:cs="Arial" w:eastAsia="Arial" w:hAnsi="Arial"/>
          <w:color w:val="404040"/>
          <w:sz w:val="22"/>
          <w:szCs w:val="22"/>
        </w:rPr>
        <w:t xml:space="preserve">Incidents et problemes : historique des incidents et leur resolution</w:t>
      </w:r>
    </w:p>
    <w:p>
      <w:pPr>
        <w:pStyle w:val="ListParagraph"/>
        <w:numPr>
          <w:ilvl w:val="0"/>
          <w:numId w:val="2"/>
        </w:numPr>
      </w:pPr>
      <w:r>
        <w:rPr>
          <w:rFonts w:ascii="Arial" w:cs="Arial" w:eastAsia="Arial" w:hAnsi="Arial"/>
          <w:color w:val="404040"/>
          <w:sz w:val="22"/>
          <w:szCs w:val="22"/>
        </w:rPr>
        <w:t xml:space="preserve">Decisions de gouvernance : approbations, évaluations de risque, changements</w:t>
      </w:r>
    </w:p>
    <w:p>
      <w:pPr>
        <w:pStyle w:val="Heading2"/>
      </w:pPr>
      <w:r>
        <w:t xml:space="preserve">Stockage d'archivage</w:t>
      </w:r>
    </w:p>
    <w:p>
      <w:r>
        <w:rPr>
          <w:rFonts w:ascii="Arial" w:cs="Arial" w:eastAsia="Arial" w:hAnsi="Arial"/>
          <w:color w:val="404040"/>
          <w:sz w:val="22"/>
          <w:szCs w:val="22"/>
        </w:rPr>
        <w:t xml:space="preserve">La documentation est stockee dans un vault securise :</w:t>
      </w:r>
    </w:p>
    <w:p>
      <w:pPr>
        <w:pStyle w:val="ListParagraph"/>
        <w:numPr>
          <w:ilvl w:val="0"/>
          <w:numId w:val="2"/>
        </w:numPr>
      </w:pPr>
      <w:r>
        <w:rPr>
          <w:rFonts w:ascii="Arial" w:cs="Arial" w:eastAsia="Arial" w:hAnsi="Arial"/>
          <w:color w:val="404040"/>
          <w:sz w:val="22"/>
          <w:szCs w:val="22"/>
        </w:rPr>
        <w:t xml:space="preserve">accès controle : seul le team d'archivage et les auditeurs authorises</w:t>
      </w:r>
    </w:p>
    <w:p>
      <w:pPr>
        <w:pStyle w:val="ListParagraph"/>
        <w:numPr>
          <w:ilvl w:val="0"/>
          <w:numId w:val="2"/>
        </w:numPr>
      </w:pPr>
      <w:r>
        <w:rPr>
          <w:rFonts w:ascii="Arial" w:cs="Arial" w:eastAsia="Arial" w:hAnsi="Arial"/>
          <w:color w:val="404040"/>
          <w:sz w:val="22"/>
          <w:szCs w:val="22"/>
        </w:rPr>
        <w:t xml:space="preserve">Chiffrage : encryption at rest et in transit</w:t>
      </w:r>
    </w:p>
    <w:p>
      <w:pPr>
        <w:pStyle w:val="ListParagraph"/>
        <w:numPr>
          <w:ilvl w:val="0"/>
          <w:numId w:val="2"/>
        </w:numPr>
      </w:pPr>
      <w:r>
        <w:rPr>
          <w:rFonts w:ascii="Arial" w:cs="Arial" w:eastAsia="Arial" w:hAnsi="Arial"/>
          <w:color w:val="404040"/>
          <w:sz w:val="22"/>
          <w:szCs w:val="22"/>
        </w:rPr>
        <w:t xml:space="preserve">Backup : copies redundantes dans emplacements geographiques distincts</w:t>
      </w:r>
    </w:p>
    <w:p>
      <w:pPr>
        <w:pStyle w:val="ListParagraph"/>
        <w:numPr>
          <w:ilvl w:val="0"/>
          <w:numId w:val="2"/>
        </w:numPr>
      </w:pPr>
      <w:r>
        <w:rPr>
          <w:rFonts w:ascii="Arial" w:cs="Arial" w:eastAsia="Arial" w:hAnsi="Arial"/>
          <w:color w:val="404040"/>
          <w:sz w:val="22"/>
          <w:szCs w:val="22"/>
        </w:rPr>
        <w:t xml:space="preserve">Versioning : suivi des modifications avec timestamp et audit trail</w:t>
      </w:r>
    </w:p>
    <w:p>
      <w:pPr>
        <w:pStyle w:val="ListParagraph"/>
        <w:numPr>
          <w:ilvl w:val="0"/>
          <w:numId w:val="2"/>
        </w:numPr>
      </w:pPr>
      <w:r>
        <w:rPr>
          <w:rFonts w:ascii="Arial" w:cs="Arial" w:eastAsia="Arial" w:hAnsi="Arial"/>
          <w:color w:val="404040"/>
          <w:sz w:val="22"/>
          <w:szCs w:val="22"/>
        </w:rPr>
        <w:t xml:space="preserve">Retention : indefini sauf determination specifique de destruction</w:t>
      </w:r>
    </w:p>
    <w:p>
      <w:pPr>
        <w:pStyle w:val="Heading2"/>
      </w:pPr>
      <w:r>
        <w:t xml:space="preserve">Accessibilite des archives</w:t>
      </w:r>
    </w:p>
    <w:p>
      <w:r>
        <w:rPr>
          <w:rFonts w:ascii="Arial" w:cs="Arial" w:eastAsia="Arial" w:hAnsi="Arial"/>
          <w:color w:val="404040"/>
          <w:sz w:val="22"/>
          <w:szCs w:val="22"/>
        </w:rPr>
        <w:t xml:space="preserve">Les données archivees peuvent être accedees par :</w:t>
      </w:r>
    </w:p>
    <w:p>
      <w:pPr>
        <w:pStyle w:val="ListParagraph"/>
        <w:numPr>
          <w:ilvl w:val="0"/>
          <w:numId w:val="2"/>
        </w:numPr>
      </w:pPr>
      <w:r>
        <w:rPr>
          <w:rFonts w:ascii="Arial" w:cs="Arial" w:eastAsia="Arial" w:hAnsi="Arial"/>
          <w:color w:val="404040"/>
          <w:sz w:val="22"/>
          <w:szCs w:val="22"/>
        </w:rPr>
        <w:t xml:space="preserve">Auditeurs internes ou externes pour verification de conformité</w:t>
      </w:r>
    </w:p>
    <w:p>
      <w:pPr>
        <w:pStyle w:val="ListParagraph"/>
        <w:numPr>
          <w:ilvl w:val="0"/>
          <w:numId w:val="2"/>
        </w:numPr>
      </w:pPr>
      <w:r>
        <w:rPr>
          <w:rFonts w:ascii="Arial" w:cs="Arial" w:eastAsia="Arial" w:hAnsi="Arial"/>
          <w:color w:val="404040"/>
          <w:sz w:val="22"/>
          <w:szCs w:val="22"/>
        </w:rPr>
        <w:t xml:space="preserve">Autorités réglementaires en cas d'investigation</w:t>
      </w:r>
    </w:p>
    <w:p>
      <w:pPr>
        <w:pStyle w:val="ListParagraph"/>
        <w:numPr>
          <w:ilvl w:val="0"/>
          <w:numId w:val="2"/>
        </w:numPr>
      </w:pPr>
      <w:r>
        <w:rPr>
          <w:rFonts w:ascii="Arial" w:cs="Arial" w:eastAsia="Arial" w:hAnsi="Arial"/>
          <w:color w:val="404040"/>
          <w:sz w:val="22"/>
          <w:szCs w:val="22"/>
        </w:rPr>
        <w:t xml:space="preserve">personnes pour exercer leurs droits d'accès aux données historiques</w:t>
      </w:r>
    </w:p>
    <w:p>
      <w:pPr>
        <w:pStyle w:val="ListParagraph"/>
        <w:numPr>
          <w:ilvl w:val="0"/>
          <w:numId w:val="2"/>
        </w:numPr>
      </w:pPr>
      <w:r>
        <w:rPr>
          <w:rFonts w:ascii="Arial" w:cs="Arial" w:eastAsia="Arial" w:hAnsi="Arial"/>
          <w:color w:val="404040"/>
          <w:sz w:val="22"/>
          <w:szCs w:val="22"/>
        </w:rPr>
        <w:t xml:space="preserve">Equipes de development pour tirer des lessons pour de futurs systèmes</w:t>
      </w:r>
    </w:p>
    <w:p>
      <w:pPr>
        <w:spacing w:before="200"/>
      </w:pPr>
    </w:p>
    <w:p>
      <w:pPr>
        <w:pStyle w:val="Heading1"/>
      </w:pPr>
      <w:r>
        <w:t xml:space="preserve">Post-mortem et apprentissages</w:t>
      </w:r>
    </w:p>
    <w:p>
      <w:r>
        <w:rPr>
          <w:rFonts w:ascii="Arial" w:cs="Arial" w:eastAsia="Arial" w:hAnsi="Arial"/>
          <w:color w:val="404040"/>
          <w:sz w:val="22"/>
          <w:szCs w:val="22"/>
        </w:rPr>
        <w:t xml:space="preserve">Apres le retrait, une réunion de post-mortem est organisee pour capturer les apprentissages :</w:t>
      </w:r>
    </w:p>
    <w:p>
      <w:pPr>
        <w:pStyle w:val="Heading2"/>
      </w:pPr>
      <w:r>
        <w:t xml:space="preserve">Points a examiner</w:t>
      </w:r>
    </w:p>
    <w:p>
      <w:pPr>
        <w:pStyle w:val="ListParagraph"/>
        <w:numPr>
          <w:ilvl w:val="0"/>
          <w:numId w:val="2"/>
        </w:numPr>
      </w:pPr>
      <w:r>
        <w:rPr>
          <w:rFonts w:ascii="Arial" w:cs="Arial" w:eastAsia="Arial" w:hAnsi="Arial"/>
          <w:color w:val="404040"/>
          <w:sz w:val="22"/>
          <w:szCs w:val="22"/>
        </w:rPr>
        <w:t xml:space="preserve">Le système a-t-il atteint ses objectifs au cours de sa vie ?</w:t>
      </w:r>
    </w:p>
    <w:p>
      <w:pPr>
        <w:pStyle w:val="ListParagraph"/>
        <w:numPr>
          <w:ilvl w:val="0"/>
          <w:numId w:val="2"/>
        </w:numPr>
      </w:pPr>
      <w:r>
        <w:rPr>
          <w:rFonts w:ascii="Arial" w:cs="Arial" w:eastAsia="Arial" w:hAnsi="Arial"/>
          <w:color w:val="404040"/>
          <w:sz w:val="22"/>
          <w:szCs w:val="22"/>
        </w:rPr>
        <w:t xml:space="preserve">Quels ont été les defis opérationnels, techniques ou de gouvernance ?</w:t>
      </w:r>
    </w:p>
    <w:p>
      <w:pPr>
        <w:pStyle w:val="ListParagraph"/>
        <w:numPr>
          <w:ilvl w:val="0"/>
          <w:numId w:val="2"/>
        </w:numPr>
      </w:pPr>
      <w:r>
        <w:rPr>
          <w:rFonts w:ascii="Arial" w:cs="Arial" w:eastAsia="Arial" w:hAnsi="Arial"/>
          <w:color w:val="404040"/>
          <w:sz w:val="22"/>
          <w:szCs w:val="22"/>
        </w:rPr>
        <w:t xml:space="preserve">Les risques identifics se sont-ils materialises ? Comment ont-ils été geres ?</w:t>
      </w:r>
    </w:p>
    <w:p>
      <w:pPr>
        <w:pStyle w:val="ListParagraph"/>
        <w:numPr>
          <w:ilvl w:val="0"/>
          <w:numId w:val="2"/>
        </w:numPr>
      </w:pPr>
      <w:r>
        <w:rPr>
          <w:rFonts w:ascii="Arial" w:cs="Arial" w:eastAsia="Arial" w:hAnsi="Arial"/>
          <w:color w:val="404040"/>
          <w:sz w:val="22"/>
          <w:szCs w:val="22"/>
        </w:rPr>
        <w:t xml:space="preserve">Le processus de retrait s'est-il deroulé comme prevu ?</w:t>
      </w:r>
    </w:p>
    <w:p>
      <w:pPr>
        <w:pStyle w:val="ListParagraph"/>
        <w:numPr>
          <w:ilvl w:val="0"/>
          <w:numId w:val="2"/>
        </w:numPr>
      </w:pPr>
      <w:r>
        <w:rPr>
          <w:rFonts w:ascii="Arial" w:cs="Arial" w:eastAsia="Arial" w:hAnsi="Arial"/>
          <w:color w:val="404040"/>
          <w:sz w:val="22"/>
          <w:szCs w:val="22"/>
        </w:rPr>
        <w:t xml:space="preserve">Quoi faire mieux lors du prochain retrait de système IA ?</w:t>
      </w:r>
    </w:p>
    <w:p>
      <w:pPr>
        <w:pStyle w:val="Heading2"/>
      </w:pPr>
      <w:r>
        <w:t xml:space="preserve">Document de post-mortem</w:t>
      </w:r>
    </w:p>
    <w:p>
      <w:r>
        <w:rPr>
          <w:rFonts w:ascii="Arial" w:cs="Arial" w:eastAsia="Arial" w:hAnsi="Arial"/>
          <w:color w:val="404040"/>
          <w:sz w:val="22"/>
          <w:szCs w:val="22"/>
        </w:rPr>
        <w:t xml:space="preserve">Un rapport formel documente :</w:t>
      </w:r>
    </w:p>
    <w:p>
      <w:pPr>
        <w:pStyle w:val="ListParagraph"/>
        <w:numPr>
          <w:ilvl w:val="0"/>
          <w:numId w:val="2"/>
        </w:numPr>
      </w:pPr>
      <w:r>
        <w:rPr>
          <w:rFonts w:ascii="Arial" w:cs="Arial" w:eastAsia="Arial" w:hAnsi="Arial"/>
          <w:color w:val="404040"/>
          <w:sz w:val="22"/>
          <w:szCs w:val="22"/>
        </w:rPr>
        <w:t xml:space="preserve">objectifs originaux du système et degre d'accomplissement</w:t>
      </w:r>
    </w:p>
    <w:p>
      <w:pPr>
        <w:pStyle w:val="ListParagraph"/>
        <w:numPr>
          <w:ilvl w:val="0"/>
          <w:numId w:val="2"/>
        </w:numPr>
      </w:pPr>
      <w:r>
        <w:rPr>
          <w:rFonts w:ascii="Arial" w:cs="Arial" w:eastAsia="Arial" w:hAnsi="Arial"/>
          <w:color w:val="404040"/>
          <w:sz w:val="22"/>
          <w:szCs w:val="22"/>
        </w:rPr>
        <w:t xml:space="preserve">Raison finales du retrait</w:t>
      </w:r>
    </w:p>
    <w:p>
      <w:pPr>
        <w:pStyle w:val="ListParagraph"/>
        <w:numPr>
          <w:ilvl w:val="0"/>
          <w:numId w:val="2"/>
        </w:numPr>
      </w:pPr>
      <w:r>
        <w:rPr>
          <w:rFonts w:ascii="Arial" w:cs="Arial" w:eastAsia="Arial" w:hAnsi="Arial"/>
          <w:color w:val="404040"/>
          <w:sz w:val="22"/>
          <w:szCs w:val="22"/>
        </w:rPr>
        <w:t xml:space="preserve">Impact opérationnel, technique et de gouvernance</w:t>
      </w:r>
    </w:p>
    <w:p>
      <w:pPr>
        <w:pStyle w:val="ListParagraph"/>
        <w:numPr>
          <w:ilvl w:val="0"/>
          <w:numId w:val="2"/>
        </w:numPr>
      </w:pPr>
      <w:r>
        <w:rPr>
          <w:rFonts w:ascii="Arial" w:cs="Arial" w:eastAsia="Arial" w:hAnsi="Arial"/>
          <w:color w:val="404040"/>
          <w:sz w:val="22"/>
          <w:szCs w:val="22"/>
        </w:rPr>
        <w:t xml:space="preserve">3-5 points cles d'apprentissage</w:t>
      </w:r>
    </w:p>
    <w:p>
      <w:pPr>
        <w:pStyle w:val="ListParagraph"/>
        <w:numPr>
          <w:ilvl w:val="0"/>
          <w:numId w:val="2"/>
        </w:numPr>
      </w:pPr>
      <w:r>
        <w:rPr>
          <w:rFonts w:ascii="Arial" w:cs="Arial" w:eastAsia="Arial" w:hAnsi="Arial"/>
          <w:color w:val="404040"/>
          <w:sz w:val="22"/>
          <w:szCs w:val="22"/>
        </w:rPr>
        <w:t xml:space="preserve">Recommandations pour les futurs systèmes similaires</w:t>
      </w:r>
    </w:p>
    <w:p>
      <w:pPr>
        <w:spacing w:before="200"/>
      </w:pPr>
    </w:p>
    <w:p>
      <w:pPr>
        <w:pStyle w:val="Heading1"/>
      </w:pPr>
      <w:r>
        <w:t xml:space="preserve">Checklist de retrait</w:t>
      </w:r>
    </w:p>
    <w:p>
      <w:r>
        <w:rPr>
          <w:rFonts w:ascii="Arial" w:cs="Arial" w:eastAsia="Arial" w:hAnsi="Arial"/>
          <w:color w:val="404040"/>
          <w:sz w:val="22"/>
          <w:szCs w:val="22"/>
        </w:rPr>
        <w:t xml:space="preserve">Cette checklist doit être completée avant de considerer le retrait comme finalise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3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Item</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responsable</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Statut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 de retrait approuve par comite gouvernance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En cours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d'entraînement supprimees ou anonymisees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Data engineer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En cours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operationnelles archivees ou supprimees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DBA</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En cours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Archivage securise conforme Loi 25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DPO</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En cours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processus fallback en place et testé</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Operations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En cours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Personnel forme sur nouvel processus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L&amp;D</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En cours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clients notifies 30 jours avant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Communications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En cours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Post-mortem completé et documented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En cours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Rapport final soumis au comite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En cours</w:t>
            </w:r>
          </w:p>
        </w:tc>
      </w:tr>
    </w:tbl>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per-decommissioning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Decommissioning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processus structuré de retrait d'un système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Archivage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Stockage a long terme de données ou de documentation pour reference future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Anonymisation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Suppression des identifiants rendant les données non attribuables a une personne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Fallback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processus alternatif utilisé quand le système primaire n'est pas disponible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Plan de retrait - Decommissioning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2026-03-05T02:24:49.356Z</dcterms:created>
  <dcterms:modified xsi:type="dcterms:W3CDTF">2026-03-05T02:24:49.356Z</dcterms:modified>
</cp:coreProperties>
</file>

<file path=docProps/custom.xml><?xml version="1.0" encoding="utf-8"?>
<Properties xmlns="http://schemas.openxmlformats.org/officeDocument/2006/custom-properties" xmlns:vt="http://schemas.openxmlformats.org/officeDocument/2006/docPropsVTypes"/>
</file>