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registre de conformité IA</w:t>
      </w:r>
    </w:p>
    <w:p>
      <w:pPr>
        <w:spacing w:after="600"/>
        <w:jc w:val="center"/>
      </w:pPr>
      <w:r>
        <w:rPr>
          <w:rFonts w:ascii="Arial" w:cs="Arial" w:eastAsia="Arial" w:hAnsi="Arial"/>
          <w:color w:val="2E75B6"/>
          <w:sz w:val="24"/>
          <w:szCs w:val="24"/>
        </w:rPr>
        <w:t xml:space="preserve">Documentation centralisee de l'état de conformité aux exigences légales et normatives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Politique de conformité IA [NOM_ORGANISATION]</w:t>
      </w:r>
    </w:p>
    <w:p>
      <w:pPr>
        <w:pStyle w:val="ListParagraph"/>
        <w:numPr>
          <w:ilvl w:val="0"/>
          <w:numId w:val="2"/>
        </w:numPr>
      </w:pPr>
      <w:r>
        <w:rPr>
          <w:rFonts w:ascii="Arial" w:cs="Arial" w:eastAsia="Arial" w:hAnsi="Arial"/>
          <w:color w:val="404040"/>
          <w:sz w:val="22"/>
          <w:szCs w:val="22"/>
        </w:rPr>
        <w:t xml:space="preserve">Procures de gestion des risques liés à l'IA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Introduction</w:t>
      </w:r>
    </w:p>
    <w:p>
      <w:r>
        <w:rPr>
          <w:rFonts w:ascii="Arial" w:cs="Arial" w:eastAsia="Arial" w:hAnsi="Arial"/>
          <w:color w:val="404040"/>
          <w:sz w:val="22"/>
          <w:szCs w:val="22"/>
        </w:rPr>
        <w:t xml:space="preserve">Le registre de conformité IA de [NOM_ORGANISATION] constitue un outil de documentation centralisé et dynamique de l'état de conformité de l'organisation avec les exigences législatives, réglementaires et normatives applicables aux systèmes d'intelligence artificielle.</w:t>
      </w:r>
    </w:p>
    <w:p>
      <w:pPr>
        <w:pStyle w:val="Heading2"/>
      </w:pPr>
      <w:r>
        <w:t xml:space="preserve">objectifs du registre</w:t>
      </w:r>
    </w:p>
    <w:p>
      <w:pPr>
        <w:pStyle w:val="ListParagraph"/>
        <w:numPr>
          <w:ilvl w:val="0"/>
          <w:numId w:val="2"/>
        </w:numPr>
      </w:pPr>
      <w:r>
        <w:rPr>
          <w:rFonts w:ascii="Arial" w:cs="Arial" w:eastAsia="Arial" w:hAnsi="Arial"/>
          <w:color w:val="404040"/>
          <w:sz w:val="22"/>
          <w:szCs w:val="22"/>
        </w:rPr>
        <w:t xml:space="preserve">Documenter de manière compréhensible et traçable l'état de conformité pour chaque exigence applicable</w:t>
      </w:r>
    </w:p>
    <w:p>
      <w:pPr>
        <w:pStyle w:val="ListParagraph"/>
        <w:numPr>
          <w:ilvl w:val="0"/>
          <w:numId w:val="2"/>
        </w:numPr>
      </w:pPr>
      <w:r>
        <w:rPr>
          <w:rFonts w:ascii="Arial" w:cs="Arial" w:eastAsia="Arial" w:hAnsi="Arial"/>
          <w:color w:val="404040"/>
          <w:sz w:val="22"/>
          <w:szCs w:val="22"/>
        </w:rPr>
        <w:t xml:space="preserve">Identifier les écarts et les risques de non-conformité</w:t>
      </w:r>
    </w:p>
    <w:p>
      <w:pPr>
        <w:pStyle w:val="ListParagraph"/>
        <w:numPr>
          <w:ilvl w:val="0"/>
          <w:numId w:val="2"/>
        </w:numPr>
      </w:pPr>
      <w:r>
        <w:rPr>
          <w:rFonts w:ascii="Arial" w:cs="Arial" w:eastAsia="Arial" w:hAnsi="Arial"/>
          <w:color w:val="404040"/>
          <w:sz w:val="22"/>
          <w:szCs w:val="22"/>
        </w:rPr>
        <w:t xml:space="preserve">Faciliter le suivi des plans de remédiation</w:t>
      </w:r>
    </w:p>
    <w:p>
      <w:pPr>
        <w:pStyle w:val="ListParagraph"/>
        <w:numPr>
          <w:ilvl w:val="0"/>
          <w:numId w:val="2"/>
        </w:numPr>
      </w:pPr>
      <w:r>
        <w:rPr>
          <w:rFonts w:ascii="Arial" w:cs="Arial" w:eastAsia="Arial" w:hAnsi="Arial"/>
          <w:color w:val="404040"/>
          <w:sz w:val="22"/>
          <w:szCs w:val="22"/>
        </w:rPr>
        <w:t xml:space="preserve">Démontrer la conformité lors d'audits internes et externes</w:t>
      </w:r>
    </w:p>
    <w:p>
      <w:pPr>
        <w:pStyle w:val="ListParagraph"/>
        <w:numPr>
          <w:ilvl w:val="0"/>
          <w:numId w:val="2"/>
        </w:numPr>
      </w:pPr>
      <w:r>
        <w:rPr>
          <w:rFonts w:ascii="Arial" w:cs="Arial" w:eastAsia="Arial" w:hAnsi="Arial"/>
          <w:color w:val="404040"/>
          <w:sz w:val="22"/>
          <w:szCs w:val="22"/>
        </w:rPr>
        <w:t xml:space="preserve">Appuyer la prise de décision stratégique en matière de gouvernance IA</w:t>
      </w:r>
    </w:p>
    <w:p>
      <w:pPr>
        <w:pStyle w:val="Heading1"/>
      </w:pPr>
      <w:r>
        <w:t xml:space="preserve">cadre normatif et réglementaire applicable</w:t>
      </w:r>
    </w:p>
    <w:p>
      <w:pPr>
        <w:pStyle w:val="Heading2"/>
      </w:pPr>
      <w:r>
        <w:t xml:space="preserve">Loi 25 - protection des renseignements personnels (Québec)</w:t>
      </w:r>
    </w:p>
    <w:p>
      <w:r>
        <w:rPr>
          <w:rFonts w:ascii="Arial" w:cs="Arial" w:eastAsia="Arial" w:hAnsi="Arial"/>
          <w:color w:val="404040"/>
          <w:sz w:val="22"/>
          <w:szCs w:val="22"/>
        </w:rPr>
        <w:t xml:space="preserve">La Loi 25 modernise les dispositions de la Loi sur la protection des renseignements personnels dans le secteur privé au Québec. Elle impose des obligations de transparence, de consentement, de sécurité et de notification en cas d'incident.</w:t>
      </w:r>
    </w:p>
    <w:p>
      <w:pPr>
        <w:pStyle w:val="ListParagraph"/>
        <w:numPr>
          <w:ilvl w:val="0"/>
          <w:numId w:val="2"/>
        </w:numPr>
      </w:pPr>
      <w:r>
        <w:rPr>
          <w:rFonts w:ascii="Arial" w:cs="Arial" w:eastAsia="Arial" w:hAnsi="Arial"/>
          <w:color w:val="404040"/>
          <w:sz w:val="22"/>
          <w:szCs w:val="22"/>
        </w:rPr>
        <w:t xml:space="preserve">consentement explicite pour la collecte et le traitement de renseignements personnels</w:t>
      </w:r>
    </w:p>
    <w:p>
      <w:pPr>
        <w:pStyle w:val="ListParagraph"/>
        <w:numPr>
          <w:ilvl w:val="0"/>
          <w:numId w:val="2"/>
        </w:numPr>
      </w:pPr>
      <w:r>
        <w:rPr>
          <w:rFonts w:ascii="Arial" w:cs="Arial" w:eastAsia="Arial" w:hAnsi="Arial"/>
          <w:color w:val="404040"/>
          <w:sz w:val="22"/>
          <w:szCs w:val="22"/>
        </w:rPr>
        <w:t xml:space="preserve">Transparence sur l'utilisation de l'IA dans les décisions relatives aux renseignements personnels</w:t>
      </w:r>
    </w:p>
    <w:p>
      <w:pPr>
        <w:pStyle w:val="ListParagraph"/>
        <w:numPr>
          <w:ilvl w:val="0"/>
          <w:numId w:val="2"/>
        </w:numPr>
      </w:pPr>
      <w:r>
        <w:rPr>
          <w:rFonts w:ascii="Arial" w:cs="Arial" w:eastAsia="Arial" w:hAnsi="Arial"/>
          <w:color w:val="404040"/>
          <w:sz w:val="22"/>
          <w:szCs w:val="22"/>
        </w:rPr>
        <w:t xml:space="preserve">Droit d'accès, de rectification et de suppression (droit à l'oubli)</w:t>
      </w:r>
    </w:p>
    <w:p>
      <w:pPr>
        <w:pStyle w:val="ListParagraph"/>
        <w:numPr>
          <w:ilvl w:val="0"/>
          <w:numId w:val="2"/>
        </w:numPr>
      </w:pPr>
      <w:r>
        <w:rPr>
          <w:rFonts w:ascii="Arial" w:cs="Arial" w:eastAsia="Arial" w:hAnsi="Arial"/>
          <w:color w:val="404040"/>
          <w:sz w:val="22"/>
          <w:szCs w:val="22"/>
        </w:rPr>
        <w:t xml:space="preserve">Notification obligatoire en cas de violation de sécurité</w:t>
      </w:r>
    </w:p>
    <w:p>
      <w:pPr>
        <w:pStyle w:val="ListParagraph"/>
        <w:numPr>
          <w:ilvl w:val="0"/>
          <w:numId w:val="2"/>
        </w:numPr>
      </w:pPr>
      <w:r>
        <w:rPr>
          <w:rFonts w:ascii="Arial" w:cs="Arial" w:eastAsia="Arial" w:hAnsi="Arial"/>
          <w:color w:val="404040"/>
          <w:sz w:val="22"/>
          <w:szCs w:val="22"/>
        </w:rPr>
        <w:t xml:space="preserve">Nominations de responsable de la conformité (personne-ressource pour questions)</w:t>
      </w:r>
    </w:p>
    <w:p>
      <w:pPr>
        <w:pStyle w:val="Heading2"/>
      </w:pPr>
      <w:r>
        <w:t xml:space="preserve">C-27 / LIAD - Loi sur l'intelligence artificielle et les données (Canada)</w:t>
      </w:r>
    </w:p>
    <w:p>
      <w:r>
        <w:rPr>
          <w:rFonts w:ascii="Arial" w:cs="Arial" w:eastAsia="Arial" w:hAnsi="Arial"/>
          <w:color w:val="404040"/>
          <w:sz w:val="22"/>
          <w:szCs w:val="22"/>
        </w:rPr>
        <w:t xml:space="preserve">Le projet de loi C-27 propose un cadre fédéral pour gouverner les systèmes d'IA, en particulier ceux à incidence élevée. Cette loi travaille de concert avec la Loi sur la protection des renseignements personnels et les documents électroniques (LPRPDE).</w:t>
      </w:r>
    </w:p>
    <w:p>
      <w:pPr>
        <w:pStyle w:val="ListParagraph"/>
        <w:numPr>
          <w:ilvl w:val="0"/>
          <w:numId w:val="2"/>
        </w:numPr>
      </w:pPr>
      <w:r>
        <w:rPr>
          <w:rFonts w:ascii="Arial" w:cs="Arial" w:eastAsia="Arial" w:hAnsi="Arial"/>
          <w:color w:val="404040"/>
          <w:sz w:val="22"/>
          <w:szCs w:val="22"/>
        </w:rPr>
        <w:t xml:space="preserve">obligations de transparence pour les systèmes d'IA à incidence élevée</w:t>
      </w:r>
    </w:p>
    <w:p>
      <w:pPr>
        <w:pStyle w:val="ListParagraph"/>
        <w:numPr>
          <w:ilvl w:val="0"/>
          <w:numId w:val="2"/>
        </w:numPr>
      </w:pPr>
      <w:r>
        <w:rPr>
          <w:rFonts w:ascii="Arial" w:cs="Arial" w:eastAsia="Arial" w:hAnsi="Arial"/>
          <w:color w:val="404040"/>
          <w:sz w:val="22"/>
          <w:szCs w:val="22"/>
        </w:rPr>
        <w:t xml:space="preserve">registre des systèmes d'IA à incidence élevée</w:t>
      </w:r>
    </w:p>
    <w:p>
      <w:pPr>
        <w:pStyle w:val="ListParagraph"/>
        <w:numPr>
          <w:ilvl w:val="0"/>
          <w:numId w:val="2"/>
        </w:numPr>
      </w:pPr>
      <w:r>
        <w:rPr>
          <w:rFonts w:ascii="Arial" w:cs="Arial" w:eastAsia="Arial" w:hAnsi="Arial"/>
          <w:color w:val="404040"/>
          <w:sz w:val="22"/>
          <w:szCs w:val="22"/>
        </w:rPr>
        <w:t xml:space="preserve">Sanctions administratives pénales importantes</w:t>
      </w:r>
    </w:p>
    <w:p>
      <w:pPr>
        <w:pStyle w:val="ListParagraph"/>
        <w:numPr>
          <w:ilvl w:val="0"/>
          <w:numId w:val="2"/>
        </w:numPr>
      </w:pPr>
      <w:r>
        <w:rPr>
          <w:rFonts w:ascii="Arial" w:cs="Arial" w:eastAsia="Arial" w:hAnsi="Arial"/>
          <w:color w:val="404040"/>
          <w:sz w:val="22"/>
          <w:szCs w:val="22"/>
        </w:rPr>
        <w:t xml:space="preserve">responsabilité des organisations pour les biais et la discrimination</w:t>
      </w:r>
    </w:p>
    <w:p>
      <w:pPr>
        <w:pStyle w:val="Heading2"/>
      </w:pPr>
      <w:r>
        <w:t xml:space="preserve">EU AI Act - Règlement européen sur l'IA</w:t>
      </w:r>
    </w:p>
    <w:p>
      <w:r>
        <w:rPr>
          <w:rFonts w:ascii="Arial" w:cs="Arial" w:eastAsia="Arial" w:hAnsi="Arial"/>
          <w:color w:val="404040"/>
          <w:sz w:val="22"/>
          <w:szCs w:val="22"/>
        </w:rPr>
        <w:t xml:space="preserve">Si [NOM_ORGANISATION] offre des services ou traite des données concernant des résidents de l'Union européenne, elle doit se conformer au Règlement (UE) 2024/1689 (EU AI Act).</w:t>
      </w:r>
    </w:p>
    <w:p>
      <w:pPr>
        <w:pStyle w:val="ListParagraph"/>
        <w:numPr>
          <w:ilvl w:val="0"/>
          <w:numId w:val="2"/>
        </w:numPr>
      </w:pPr>
      <w:r>
        <w:rPr>
          <w:rFonts w:ascii="Arial" w:cs="Arial" w:eastAsia="Arial" w:hAnsi="Arial"/>
          <w:color w:val="404040"/>
          <w:sz w:val="22"/>
          <w:szCs w:val="22"/>
        </w:rPr>
        <w:t xml:space="preserve">Classification des systèmes d'IA selon le niveau de risque (prohibé, haut risque, risque limite, risque minimal)</w:t>
      </w:r>
    </w:p>
    <w:p>
      <w:pPr>
        <w:pStyle w:val="ListParagraph"/>
        <w:numPr>
          <w:ilvl w:val="0"/>
          <w:numId w:val="2"/>
        </w:numPr>
      </w:pPr>
      <w:r>
        <w:rPr>
          <w:rFonts w:ascii="Arial" w:cs="Arial" w:eastAsia="Arial" w:hAnsi="Arial"/>
          <w:color w:val="404040"/>
          <w:sz w:val="22"/>
          <w:szCs w:val="22"/>
        </w:rPr>
        <w:t xml:space="preserve">obligations documentaires et de transparence selon le niveau de risque</w:t>
      </w:r>
    </w:p>
    <w:p>
      <w:pPr>
        <w:pStyle w:val="ListParagraph"/>
        <w:numPr>
          <w:ilvl w:val="0"/>
          <w:numId w:val="2"/>
        </w:numPr>
      </w:pPr>
      <w:r>
        <w:rPr>
          <w:rFonts w:ascii="Arial" w:cs="Arial" w:eastAsia="Arial" w:hAnsi="Arial"/>
          <w:color w:val="404040"/>
          <w:sz w:val="22"/>
          <w:szCs w:val="22"/>
        </w:rPr>
        <w:t xml:space="preserve">responsabilité des fournisseurs et des déployants</w:t>
      </w:r>
    </w:p>
    <w:p>
      <w:pPr>
        <w:pStyle w:val="ListParagraph"/>
        <w:numPr>
          <w:ilvl w:val="0"/>
          <w:numId w:val="2"/>
        </w:numPr>
      </w:pPr>
      <w:r>
        <w:rPr>
          <w:rFonts w:ascii="Arial" w:cs="Arial" w:eastAsia="Arial" w:hAnsi="Arial"/>
          <w:color w:val="404040"/>
          <w:sz w:val="22"/>
          <w:szCs w:val="22"/>
        </w:rPr>
        <w:t xml:space="preserve">Droit d'accès aux données et d'action en justice pour les personnes affectées</w:t>
      </w:r>
    </w:p>
    <w:p>
      <w:pPr>
        <w:pStyle w:val="Heading2"/>
      </w:pPr>
      <w:r>
        <w:t xml:space="preserve">RGPD - Règlement général sur la protection des données (UE)</w:t>
      </w:r>
    </w:p>
    <w:p>
      <w:r>
        <w:rPr>
          <w:rFonts w:ascii="Arial" w:cs="Arial" w:eastAsia="Arial" w:hAnsi="Arial"/>
          <w:color w:val="404040"/>
          <w:sz w:val="22"/>
          <w:szCs w:val="22"/>
        </w:rPr>
        <w:t xml:space="preserve">Le RGPD s'applique si [NOM_ORGANISATION] traite des données personnelles de résidents de l'UE, independamment de son lieu d'etablissement.</w:t>
      </w:r>
    </w:p>
    <w:p>
      <w:pPr>
        <w:pStyle w:val="ListParagraph"/>
        <w:numPr>
          <w:ilvl w:val="0"/>
          <w:numId w:val="2"/>
        </w:numPr>
      </w:pPr>
      <w:r>
        <w:rPr>
          <w:rFonts w:ascii="Arial" w:cs="Arial" w:eastAsia="Arial" w:hAnsi="Arial"/>
          <w:color w:val="404040"/>
          <w:sz w:val="22"/>
          <w:szCs w:val="22"/>
        </w:rPr>
        <w:t xml:space="preserve">Article 22 - Interdiction des décisions entièrement automatisees ayant des effets significatifs</w:t>
      </w:r>
    </w:p>
    <w:p>
      <w:pPr>
        <w:pStyle w:val="ListParagraph"/>
        <w:numPr>
          <w:ilvl w:val="0"/>
          <w:numId w:val="2"/>
        </w:numPr>
      </w:pPr>
      <w:r>
        <w:rPr>
          <w:rFonts w:ascii="Arial" w:cs="Arial" w:eastAsia="Arial" w:hAnsi="Arial"/>
          <w:color w:val="404040"/>
          <w:sz w:val="22"/>
          <w:szCs w:val="22"/>
        </w:rPr>
        <w:t xml:space="preserve">Article 13-14 - Droit a l'information et a la transparence</w:t>
      </w:r>
    </w:p>
    <w:p>
      <w:pPr>
        <w:pStyle w:val="ListParagraph"/>
        <w:numPr>
          <w:ilvl w:val="0"/>
          <w:numId w:val="2"/>
        </w:numPr>
      </w:pPr>
      <w:r>
        <w:rPr>
          <w:rFonts w:ascii="Arial" w:cs="Arial" w:eastAsia="Arial" w:hAnsi="Arial"/>
          <w:color w:val="404040"/>
          <w:sz w:val="22"/>
          <w:szCs w:val="22"/>
        </w:rPr>
        <w:t xml:space="preserve">Article 6 - Bases légales du traitement</w:t>
      </w:r>
    </w:p>
    <w:p>
      <w:pPr>
        <w:pStyle w:val="ListParagraph"/>
        <w:numPr>
          <w:ilvl w:val="0"/>
          <w:numId w:val="2"/>
        </w:numPr>
      </w:pPr>
      <w:r>
        <w:rPr>
          <w:rFonts w:ascii="Arial" w:cs="Arial" w:eastAsia="Arial" w:hAnsi="Arial"/>
          <w:color w:val="404040"/>
          <w:sz w:val="22"/>
          <w:szCs w:val="22"/>
        </w:rPr>
        <w:t xml:space="preserve">évaluation d'impact relative a la protection des données (DPIA/EIVP)</w:t>
      </w:r>
    </w:p>
    <w:p>
      <w:pPr>
        <w:pStyle w:val="ListParagraph"/>
        <w:numPr>
          <w:ilvl w:val="0"/>
          <w:numId w:val="2"/>
        </w:numPr>
      </w:pPr>
      <w:r>
        <w:rPr>
          <w:rFonts w:ascii="Arial" w:cs="Arial" w:eastAsia="Arial" w:hAnsi="Arial"/>
          <w:color w:val="404040"/>
          <w:sz w:val="22"/>
          <w:szCs w:val="22"/>
        </w:rPr>
        <w:t xml:space="preserve">registre des activités de traitement (RAT)</w:t>
      </w:r>
    </w:p>
    <w:p>
      <w:pPr>
        <w:pStyle w:val="Heading2"/>
      </w:pPr>
      <w:r>
        <w:t xml:space="preserve">Normes ISO applicables</w:t>
      </w:r>
    </w:p>
    <w:p>
      <w:r>
        <w:rPr>
          <w:rFonts w:ascii="Arial" w:cs="Arial" w:eastAsia="Arial" w:hAnsi="Arial"/>
          <w:color w:val="404040"/>
          <w:sz w:val="22"/>
          <w:szCs w:val="22"/>
        </w:rPr>
        <w:t xml:space="preserve">Les organisations mettant en place des systèmes d'IA doivent respecter les normes ISO suivantes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ISO/IEC 27001:2022 - Système de management de la sécurité de l'information</w:t>
      </w:r>
    </w:p>
    <w:p>
      <w:pPr>
        <w:pStyle w:val="ListParagraph"/>
        <w:numPr>
          <w:ilvl w:val="0"/>
          <w:numId w:val="2"/>
        </w:numPr>
      </w:pPr>
      <w:r>
        <w:rPr>
          <w:rFonts w:ascii="Arial" w:cs="Arial" w:eastAsia="Arial" w:hAnsi="Arial"/>
          <w:color w:val="404040"/>
          <w:sz w:val="22"/>
          <w:szCs w:val="22"/>
        </w:rPr>
        <w:t xml:space="preserve">ISO 8601 - Représentation des dates et heures</w:t>
      </w:r>
    </w:p>
    <w:p>
      <w:pPr>
        <w:pStyle w:val="Heading1"/>
      </w:pPr>
      <w:r>
        <w:t xml:space="preserve">structuré du registre</w:t>
      </w:r>
    </w:p>
    <w:p>
      <w:r>
        <w:rPr>
          <w:rFonts w:ascii="Arial" w:cs="Arial" w:eastAsia="Arial" w:hAnsi="Arial"/>
          <w:color w:val="404040"/>
          <w:sz w:val="22"/>
          <w:szCs w:val="22"/>
        </w:rPr>
        <w:t xml:space="preserve">Le registre est organise selon les lois et normes applicables, avec pour chaque exigence :</w:t>
      </w:r>
    </w:p>
    <w:p>
      <w:pPr>
        <w:pStyle w:val="ListParagraph"/>
        <w:numPr>
          <w:ilvl w:val="0"/>
          <w:numId w:val="2"/>
        </w:numPr>
      </w:pPr>
      <w:r>
        <w:rPr>
          <w:rFonts w:ascii="Arial" w:cs="Arial" w:eastAsia="Arial" w:hAnsi="Arial"/>
          <w:color w:val="404040"/>
          <w:sz w:val="22"/>
          <w:szCs w:val="22"/>
        </w:rPr>
        <w:t xml:space="preserve">Code de reference (ex. L25-ART3, C27-HAZARD, EUAI-RISK1)</w:t>
      </w:r>
    </w:p>
    <w:p>
      <w:pPr>
        <w:pStyle w:val="ListParagraph"/>
        <w:numPr>
          <w:ilvl w:val="0"/>
          <w:numId w:val="2"/>
        </w:numPr>
      </w:pPr>
      <w:r>
        <w:rPr>
          <w:rFonts w:ascii="Arial" w:cs="Arial" w:eastAsia="Arial" w:hAnsi="Arial"/>
          <w:color w:val="404040"/>
          <w:sz w:val="22"/>
          <w:szCs w:val="22"/>
        </w:rPr>
        <w:t xml:space="preserve">Description de l'exigence</w:t>
      </w:r>
    </w:p>
    <w:p>
      <w:pPr>
        <w:pStyle w:val="ListParagraph"/>
        <w:numPr>
          <w:ilvl w:val="0"/>
          <w:numId w:val="2"/>
        </w:numPr>
      </w:pPr>
      <w:r>
        <w:rPr>
          <w:rFonts w:ascii="Arial" w:cs="Arial" w:eastAsia="Arial" w:hAnsi="Arial"/>
          <w:color w:val="404040"/>
          <w:sz w:val="22"/>
          <w:szCs w:val="22"/>
        </w:rPr>
        <w:t xml:space="preserve">Secteur ou domaine concerne (ex. données, transparence, sécurité)</w:t>
      </w:r>
    </w:p>
    <w:p>
      <w:pPr>
        <w:pStyle w:val="ListParagraph"/>
        <w:numPr>
          <w:ilvl w:val="0"/>
          <w:numId w:val="2"/>
        </w:numPr>
      </w:pPr>
      <w:r>
        <w:rPr>
          <w:rFonts w:ascii="Arial" w:cs="Arial" w:eastAsia="Arial" w:hAnsi="Arial"/>
          <w:color w:val="404040"/>
          <w:sz w:val="22"/>
          <w:szCs w:val="22"/>
        </w:rPr>
        <w:t xml:space="preserve">Statut de conformité (Conforme, Non conforme, Partiellement conforme, Non applicable)</w:t>
      </w:r>
    </w:p>
    <w:p>
      <w:pPr>
        <w:pStyle w:val="ListParagraph"/>
        <w:numPr>
          <w:ilvl w:val="0"/>
          <w:numId w:val="2"/>
        </w:numPr>
      </w:pPr>
      <w:r>
        <w:rPr>
          <w:rFonts w:ascii="Arial" w:cs="Arial" w:eastAsia="Arial" w:hAnsi="Arial"/>
          <w:color w:val="404040"/>
          <w:sz w:val="22"/>
          <w:szCs w:val="22"/>
        </w:rPr>
        <w:t xml:space="preserve">Risque de non-conformité (Élevé, Moyen, faible)</w:t>
      </w:r>
    </w:p>
    <w:p>
      <w:pPr>
        <w:pStyle w:val="ListParagraph"/>
        <w:numPr>
          <w:ilvl w:val="0"/>
          <w:numId w:val="2"/>
        </w:numPr>
      </w:pPr>
      <w:r>
        <w:rPr>
          <w:rFonts w:ascii="Arial" w:cs="Arial" w:eastAsia="Arial" w:hAnsi="Arial"/>
          <w:color w:val="404040"/>
          <w:sz w:val="22"/>
          <w:szCs w:val="22"/>
        </w:rPr>
        <w:t xml:space="preserve">Description de l'ecart (s'il y a lieu)</w:t>
      </w:r>
    </w:p>
    <w:p>
      <w:pPr>
        <w:pStyle w:val="ListParagraph"/>
        <w:numPr>
          <w:ilvl w:val="0"/>
          <w:numId w:val="2"/>
        </w:numPr>
      </w:pPr>
      <w:r>
        <w:rPr>
          <w:rFonts w:ascii="Arial" w:cs="Arial" w:eastAsia="Arial" w:hAnsi="Arial"/>
          <w:color w:val="404040"/>
          <w:sz w:val="22"/>
          <w:szCs w:val="22"/>
        </w:rPr>
        <w:t xml:space="preserve">responsable de la remédiation</w:t>
      </w:r>
    </w:p>
    <w:p>
      <w:pPr>
        <w:pStyle w:val="ListParagraph"/>
        <w:numPr>
          <w:ilvl w:val="0"/>
          <w:numId w:val="2"/>
        </w:numPr>
      </w:pPr>
      <w:r>
        <w:rPr>
          <w:rFonts w:ascii="Arial" w:cs="Arial" w:eastAsia="Arial" w:hAnsi="Arial"/>
          <w:color w:val="404040"/>
          <w:sz w:val="22"/>
          <w:szCs w:val="22"/>
        </w:rPr>
        <w:t xml:space="preserve">Plan d'action et echeances</w:t>
      </w:r>
    </w:p>
    <w:p>
      <w:pPr>
        <w:pStyle w:val="ListParagraph"/>
        <w:numPr>
          <w:ilvl w:val="0"/>
          <w:numId w:val="2"/>
        </w:numPr>
      </w:pPr>
      <w:r>
        <w:rPr>
          <w:rFonts w:ascii="Arial" w:cs="Arial" w:eastAsia="Arial" w:hAnsi="Arial"/>
          <w:color w:val="404040"/>
          <w:sz w:val="22"/>
          <w:szCs w:val="22"/>
        </w:rPr>
        <w:t xml:space="preserve">Date d'évaluation et d'actualisation</w:t>
      </w:r>
    </w:p>
    <w:p>
      <w:pPr>
        <w:pStyle w:val="Heading1"/>
      </w:pPr>
      <w:r>
        <w:t xml:space="preserve">registre detaille - Loi 25</w:t>
      </w:r>
    </w:p>
    <w:p>
      <w:r>
        <w:rPr>
          <w:rFonts w:ascii="Arial" w:cs="Arial" w:eastAsia="Arial" w:hAnsi="Arial"/>
          <w:color w:val="404040"/>
          <w:sz w:val="22"/>
          <w:szCs w:val="22"/>
        </w:rPr>
        <w:t xml:space="preserve">Tableau de conformité pour les exigences de la Loi 25 du Québec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1200"/>
        <w:gridCol w:w="28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Plan d'action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consentement explicite a la collecte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de consentement documente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sur l'utilisation 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Developper guide de transparence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d'accès aux données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de gestion mis en place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de rectification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Procedure documentée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a l'oubli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Evaluer capacites techniques - Q3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Notification de violation de sécurité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Procedure d'incident en place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L25-007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Designation d'une personne-ressource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[responsable_conformité] désigné</w:t>
            </w:r>
          </w:p>
        </w:tc>
      </w:tr>
    </w:tbl>
    <w:p>
      <w:pPr>
        <w:pStyle w:val="Heading1"/>
      </w:pPr>
      <w:r>
        <w:t xml:space="preserve">registre detaille - C-27/LIAD</w:t>
      </w:r>
    </w:p>
    <w:p>
      <w:r>
        <w:rPr>
          <w:rFonts w:ascii="Arial" w:cs="Arial" w:eastAsia="Arial" w:hAnsi="Arial"/>
          <w:color w:val="404040"/>
          <w:sz w:val="22"/>
          <w:szCs w:val="22"/>
        </w:rPr>
        <w:t xml:space="preserve">Tableau de conformité pour les exigences du projet de loi C-27 (LIAD)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1200"/>
        <w:gridCol w:w="28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Plan d'action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Identification des systèmes à incidence élevée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des systèmes maintenu</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du niveau d'incidence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Reclassification des systèmes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des systèmes à incidence élevée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Completer la documentation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Tests et validation des systèmes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Implémenter cadre de test - Q3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Publication du registre (si 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applicable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 evaluer selon activités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C27-006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 contre les biais et discrimination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Developper guide sur les biais - Q2 2026</w:t>
            </w:r>
          </w:p>
        </w:tc>
      </w:tr>
    </w:tbl>
    <w:p>
      <w:pPr>
        <w:pStyle w:val="Heading1"/>
      </w:pPr>
      <w:r>
        <w:t xml:space="preserve">registre detaille - EU AI Act</w:t>
      </w:r>
    </w:p>
    <w:p>
      <w:r>
        <w:rPr>
          <w:rFonts w:ascii="Arial" w:cs="Arial" w:eastAsia="Arial" w:hAnsi="Arial"/>
          <w:color w:val="404040"/>
          <w:sz w:val="22"/>
          <w:szCs w:val="22"/>
        </w:rPr>
        <w:t xml:space="preserve">Tableau de conformité pour les exigences du Règlement (UE) 2024/1689 (applicable si données de résidents 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1200"/>
        <w:gridCol w:w="28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Plan d'action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EUAI-001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des systèmes par niveau de risque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Classification documentée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EUAI-002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des systèmes a haut risque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Complet la documentation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EUAI-003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envers les utilisateurs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Ajouter mentions de transparence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EUAI-004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de recours et d'explication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Implémenter mécanisme de recours - Q3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EUAI-005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technique et de sécurité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Audits techniques reguliers</w:t>
            </w:r>
          </w:p>
        </w:tc>
      </w:tr>
    </w:tbl>
    <w:p>
      <w:pPr>
        <w:pStyle w:val="Heading1"/>
      </w:pPr>
      <w:r>
        <w:t xml:space="preserve">registre detaille - RGPD</w:t>
      </w:r>
    </w:p>
    <w:p>
      <w:r>
        <w:rPr>
          <w:rFonts w:ascii="Arial" w:cs="Arial" w:eastAsia="Arial" w:hAnsi="Arial"/>
          <w:color w:val="404040"/>
          <w:sz w:val="22"/>
          <w:szCs w:val="22"/>
        </w:rPr>
        <w:t xml:space="preserve">Tableau de conformité pour les exigences du RGPD (applicable si données de résidents 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500"/>
        <w:gridCol w:w="1200"/>
        <w:gridCol w:w="28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Risque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Plan d'action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RGPD-001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baséé legale pour le traitement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Bases légales documentées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RGPD-022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Interdiction décisions entièrement automatisees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Reviser tous les processus IA - Q2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RGPD-013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a l'information (collecte)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de confidentialité mise a jour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RGPD-014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Droit a l'information (source tierce)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Avis envoyes aux personnes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RGPD-DPIA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d'impact (DPIA)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Partiellement conforme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Realiser DPIAs manquantes - Q2 2026</w:t>
            </w:r>
          </w:p>
        </w:tc>
      </w:tr>
    </w:tbl>
    <w:p>
      <w:pPr>
        <w:pStyle w:val="Heading1"/>
      </w:pPr>
      <w:r>
        <w:t xml:space="preserve">Proces de mise a jour et maintenance du registre</w:t>
      </w:r>
    </w:p>
    <w:p>
      <w:pPr>
        <w:pStyle w:val="Heading2"/>
      </w:pPr>
      <w:r>
        <w:t xml:space="preserve">Frequence de mise a jour</w:t>
      </w:r>
    </w:p>
    <w:p>
      <w:pPr>
        <w:pStyle w:val="ListParagraph"/>
        <w:numPr>
          <w:ilvl w:val="0"/>
          <w:numId w:val="2"/>
        </w:numPr>
      </w:pPr>
      <w:r>
        <w:rPr>
          <w:rFonts w:ascii="Arial" w:cs="Arial" w:eastAsia="Arial" w:hAnsi="Arial"/>
          <w:color w:val="404040"/>
          <w:sz w:val="22"/>
          <w:szCs w:val="22"/>
        </w:rPr>
        <w:t xml:space="preserve">révision complete: annuellement, ou lors de changements legislatifs majeurs</w:t>
      </w:r>
    </w:p>
    <w:p>
      <w:pPr>
        <w:pStyle w:val="ListParagraph"/>
        <w:numPr>
          <w:ilvl w:val="0"/>
          <w:numId w:val="2"/>
        </w:numPr>
      </w:pPr>
      <w:r>
        <w:rPr>
          <w:rFonts w:ascii="Arial" w:cs="Arial" w:eastAsia="Arial" w:hAnsi="Arial"/>
          <w:color w:val="404040"/>
          <w:sz w:val="22"/>
          <w:szCs w:val="22"/>
        </w:rPr>
        <w:t xml:space="preserve">révision des systèmes modifies: au moment de la modification ou déploiement</w:t>
      </w:r>
    </w:p>
    <w:p>
      <w:pPr>
        <w:pStyle w:val="ListParagraph"/>
        <w:numPr>
          <w:ilvl w:val="0"/>
          <w:numId w:val="2"/>
        </w:numPr>
      </w:pPr>
      <w:r>
        <w:rPr>
          <w:rFonts w:ascii="Arial" w:cs="Arial" w:eastAsia="Arial" w:hAnsi="Arial"/>
          <w:color w:val="404040"/>
          <w:sz w:val="22"/>
          <w:szCs w:val="22"/>
        </w:rPr>
        <w:t xml:space="preserve">révision des plans d'action: mensuellement ou selon l'avancement des projets</w:t>
      </w:r>
    </w:p>
    <w:p>
      <w:pPr>
        <w:pStyle w:val="Heading2"/>
      </w:pPr>
      <w:r>
        <w:t xml:space="preserve">responsabilités</w:t>
      </w:r>
    </w:p>
    <w:p>
      <w:r>
        <w:rPr>
          <w:rFonts w:ascii="Arial" w:cs="Arial" w:eastAsia="Arial" w:hAnsi="Arial"/>
          <w:color w:val="404040"/>
          <w:sz w:val="22"/>
          <w:szCs w:val="22"/>
        </w:rPr>
        <w:t xml:space="preserve">Tableau des roles et responsabilités pour le maintien du registre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conformité IA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la mise a jour du registre, collecte les informations auprès des departements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Directeur technique / CTO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les details techniques sur les systèmes d'IA en place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sécurité</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évaluée les risques de sécurité associes a chaque exigence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Conseil juridique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Interrete et applique les exigences légales et réglementaires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Auditeur interne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l'exactitude du registre lors des audits</w:t>
            </w:r>
          </w:p>
        </w:tc>
      </w:tr>
    </w:tbl>
    <w:p>
      <w:r>
        <w:br w:type="page"/>
      </w:r>
    </w:p>
    <w:p>
      <w:pPr>
        <w:pStyle w:val="Heading1"/>
      </w:pPr>
      <w:r>
        <w:t xml:space="preserve">Annexes</w:t>
      </w:r>
    </w:p>
    <w:p>
      <w:pPr>
        <w:pStyle w:val="Heading2"/>
      </w:pPr>
      <w:r>
        <w:t xml:space="preserve">Legende des statuts de conformité</w:t>
      </w:r>
    </w:p>
    <w:p>
      <w:pPr>
        <w:pStyle w:val="ListParagraph"/>
        <w:numPr>
          <w:ilvl w:val="0"/>
          <w:numId w:val="2"/>
        </w:numPr>
      </w:pPr>
      <w:r>
        <w:rPr>
          <w:rFonts w:ascii="Arial" w:cs="Arial" w:eastAsia="Arial" w:hAnsi="Arial"/>
          <w:color w:val="404040"/>
          <w:sz w:val="22"/>
          <w:szCs w:val="22"/>
        </w:rPr>
        <w:t xml:space="preserve">Conforme: L'exigence est entièrement respectee</w:t>
      </w:r>
    </w:p>
    <w:p>
      <w:pPr>
        <w:pStyle w:val="ListParagraph"/>
        <w:numPr>
          <w:ilvl w:val="0"/>
          <w:numId w:val="2"/>
        </w:numPr>
      </w:pPr>
      <w:r>
        <w:rPr>
          <w:rFonts w:ascii="Arial" w:cs="Arial" w:eastAsia="Arial" w:hAnsi="Arial"/>
          <w:color w:val="404040"/>
          <w:sz w:val="22"/>
          <w:szCs w:val="22"/>
        </w:rPr>
        <w:t xml:space="preserve">Partiellement conforme: L'exigence est partiellement respectee, des ameliorations sont en cours</w:t>
      </w:r>
    </w:p>
    <w:p>
      <w:pPr>
        <w:pStyle w:val="ListParagraph"/>
        <w:numPr>
          <w:ilvl w:val="0"/>
          <w:numId w:val="2"/>
        </w:numPr>
      </w:pPr>
      <w:r>
        <w:rPr>
          <w:rFonts w:ascii="Arial" w:cs="Arial" w:eastAsia="Arial" w:hAnsi="Arial"/>
          <w:color w:val="404040"/>
          <w:sz w:val="22"/>
          <w:szCs w:val="22"/>
        </w:rPr>
        <w:t xml:space="preserve">Non conforme: L'exigence n'est pas respectee</w:t>
      </w:r>
    </w:p>
    <w:p>
      <w:pPr>
        <w:pStyle w:val="ListParagraph"/>
        <w:numPr>
          <w:ilvl w:val="0"/>
          <w:numId w:val="2"/>
        </w:numPr>
      </w:pPr>
      <w:r>
        <w:rPr>
          <w:rFonts w:ascii="Arial" w:cs="Arial" w:eastAsia="Arial" w:hAnsi="Arial"/>
          <w:color w:val="404040"/>
          <w:sz w:val="22"/>
          <w:szCs w:val="22"/>
        </w:rPr>
        <w:t xml:space="preserve">Non applicable: L'exigence ne s'applique pas au contexte de l'organisation</w:t>
      </w:r>
    </w:p>
    <w:p>
      <w:pPr>
        <w:pStyle w:val="Heading2"/>
      </w:pPr>
      <w:r>
        <w:t xml:space="preserve">Legende des niveaux de risque</w:t>
      </w:r>
    </w:p>
    <w:p>
      <w:pPr>
        <w:pStyle w:val="ListParagraph"/>
        <w:numPr>
          <w:ilvl w:val="0"/>
          <w:numId w:val="2"/>
        </w:numPr>
      </w:pPr>
      <w:r>
        <w:rPr>
          <w:rFonts w:ascii="Arial" w:cs="Arial" w:eastAsia="Arial" w:hAnsi="Arial"/>
          <w:color w:val="404040"/>
          <w:sz w:val="22"/>
          <w:szCs w:val="22"/>
        </w:rPr>
        <w:t xml:space="preserve">Élevé: La non-conformité presente un risque significatif pour l'organisation ou ses parties prenantes</w:t>
      </w:r>
    </w:p>
    <w:p>
      <w:pPr>
        <w:pStyle w:val="ListParagraph"/>
        <w:numPr>
          <w:ilvl w:val="0"/>
          <w:numId w:val="2"/>
        </w:numPr>
      </w:pPr>
      <w:r>
        <w:rPr>
          <w:rFonts w:ascii="Arial" w:cs="Arial" w:eastAsia="Arial" w:hAnsi="Arial"/>
          <w:color w:val="404040"/>
          <w:sz w:val="22"/>
          <w:szCs w:val="22"/>
        </w:rPr>
        <w:t xml:space="preserve">Moyen: La non-conformité presente un risque modere qui doit être adresse dans les 6 mois</w:t>
      </w:r>
    </w:p>
    <w:p>
      <w:pPr>
        <w:pStyle w:val="ListParagraph"/>
        <w:numPr>
          <w:ilvl w:val="0"/>
          <w:numId w:val="2"/>
        </w:numPr>
      </w:pPr>
      <w:r>
        <w:rPr>
          <w:rFonts w:ascii="Arial" w:cs="Arial" w:eastAsia="Arial" w:hAnsi="Arial"/>
          <w:color w:val="404040"/>
          <w:sz w:val="22"/>
          <w:szCs w:val="22"/>
        </w:rPr>
        <w:t xml:space="preserve">faible: La non-conformité presente un risque limite; remédiation planifiee mais non urgente</w:t>
      </w: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de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 centralisé documentant l'état de conformité aux exigences légales et normatives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Ecart de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Situation ou l'organisation ne satisfait pas entièrement a une exigence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registre de conformité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2026-03-05T02:24:49.470Z</dcterms:created>
  <dcterms:modified xsi:type="dcterms:W3CDTF">2026-03-05T02:24:49.471Z</dcterms:modified>
</cp:coreProperties>
</file>

<file path=docProps/custom.xml><?xml version="1.0" encoding="utf-8"?>
<Properties xmlns="http://schemas.openxmlformats.org/officeDocument/2006/custom-properties" xmlns:vt="http://schemas.openxmlformats.org/officeDocument/2006/docPropsVTypes"/>
</file>