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de conformité Loi 25 et IA</w:t>
      </w:r>
    </w:p>
    <w:p>
      <w:pPr>
        <w:spacing w:after="600"/>
        <w:jc w:val="center"/>
      </w:pPr>
      <w:r>
        <w:rPr>
          <w:rFonts w:ascii="Arial" w:cs="Arial" w:eastAsia="Arial" w:hAnsi="Arial"/>
          <w:color w:val="2E75B6"/>
          <w:sz w:val="24"/>
          <w:szCs w:val="24"/>
        </w:rPr>
        <w:t xml:space="preserve">Application de la Loi 25 du Québec aux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modernisant des dispositions législatives en matière de protection des renseignements personnels (Loi 25, Québec)</w:t>
      </w:r>
    </w:p>
    <w:p>
      <w:pPr>
        <w:pStyle w:val="ListParagraph"/>
        <w:numPr>
          <w:ilvl w:val="0"/>
          <w:numId w:val="2"/>
        </w:numPr>
      </w:pPr>
      <w:r>
        <w:rPr>
          <w:rFonts w:ascii="Arial" w:cs="Arial" w:eastAsia="Arial" w:hAnsi="Arial"/>
          <w:color w:val="404040"/>
          <w:sz w:val="22"/>
          <w:szCs w:val="22"/>
        </w:rPr>
        <w:t xml:space="preserve">CNIL - Commission nationale de l'informatique et des libertes (recommandations sur l'IA)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La Loi 25 du Québec modifie les dispositions de la Loi sur la protection des renseignements personnels dans le secteur privé. Elle renforce les droits des personnes et les obligations des organisations qui traitent des renseignements personnels. Ce guide explique l'application de la Loi 25 aux systèmes d'intelligence artificielle.</w:t>
      </w:r>
    </w:p>
    <w:p>
      <w:pPr>
        <w:pStyle w:val="Heading2"/>
      </w:pPr>
      <w:r>
        <w:t xml:space="preserve">contexte et importance</w:t>
      </w:r>
    </w:p>
    <w:p>
      <w:r>
        <w:rPr>
          <w:rFonts w:ascii="Arial" w:cs="Arial" w:eastAsia="Arial" w:hAnsi="Arial"/>
          <w:color w:val="404040"/>
          <w:sz w:val="22"/>
          <w:szCs w:val="22"/>
        </w:rPr>
        <w:t xml:space="preserve">Les systèmes d'IA souvent collectent, traitent et stockent de grandes quantites de renseignements personnels. La Loi 25 impose des obligations strictes de transparence, de consentement et de sécurité pour ces activités.</w:t>
      </w:r>
    </w:p>
    <w:p>
      <w:pPr>
        <w:pStyle w:val="Heading1"/>
      </w:pPr>
      <w:r>
        <w:t xml:space="preserve">principes fondamentaux de la Loi 25</w:t>
      </w:r>
    </w:p>
    <w:p>
      <w:pPr>
        <w:pStyle w:val="Heading2"/>
      </w:pPr>
      <w:r>
        <w:t xml:space="preserve">1. consentement explicite</w:t>
      </w:r>
    </w:p>
    <w:p>
      <w:r>
        <w:rPr>
          <w:rFonts w:ascii="Arial" w:cs="Arial" w:eastAsia="Arial" w:hAnsi="Arial"/>
          <w:color w:val="404040"/>
          <w:sz w:val="22"/>
          <w:szCs w:val="22"/>
        </w:rPr>
        <w:t xml:space="preserve">La Loi 25 exige que le consentement pour la collecte et l'utilisation de renseignements personnels soit explicite et eclaire.</w:t>
      </w:r>
    </w:p>
    <w:p>
      <w:pPr>
        <w:pStyle w:val="ListParagraph"/>
        <w:numPr>
          <w:ilvl w:val="0"/>
          <w:numId w:val="2"/>
        </w:numPr>
      </w:pPr>
      <w:r>
        <w:rPr>
          <w:rFonts w:ascii="Arial" w:cs="Arial" w:eastAsia="Arial" w:hAnsi="Arial"/>
          <w:color w:val="404040"/>
          <w:sz w:val="22"/>
          <w:szCs w:val="22"/>
        </w:rPr>
        <w:t xml:space="preserve">Le consentement par defaut (opt-out) n'est plus suffisant</w:t>
      </w:r>
    </w:p>
    <w:p>
      <w:pPr>
        <w:pStyle w:val="ListParagraph"/>
        <w:numPr>
          <w:ilvl w:val="0"/>
          <w:numId w:val="2"/>
        </w:numPr>
      </w:pPr>
      <w:r>
        <w:rPr>
          <w:rFonts w:ascii="Arial" w:cs="Arial" w:eastAsia="Arial" w:hAnsi="Arial"/>
          <w:color w:val="404040"/>
          <w:sz w:val="22"/>
          <w:szCs w:val="22"/>
        </w:rPr>
        <w:t xml:space="preserve">Le consentement doit être donne librement et sans pression</w:t>
      </w:r>
    </w:p>
    <w:p>
      <w:pPr>
        <w:pStyle w:val="ListParagraph"/>
        <w:numPr>
          <w:ilvl w:val="0"/>
          <w:numId w:val="2"/>
        </w:numPr>
      </w:pPr>
      <w:r>
        <w:rPr>
          <w:rFonts w:ascii="Arial" w:cs="Arial" w:eastAsia="Arial" w:hAnsi="Arial"/>
          <w:color w:val="404040"/>
          <w:sz w:val="22"/>
          <w:szCs w:val="22"/>
        </w:rPr>
        <w:t xml:space="preserve">La personne doit comprendre precisement comment ses données seront utilisées</w:t>
      </w:r>
    </w:p>
    <w:p>
      <w:pPr>
        <w:pStyle w:val="ListParagraph"/>
        <w:numPr>
          <w:ilvl w:val="0"/>
          <w:numId w:val="2"/>
        </w:numPr>
      </w:pPr>
      <w:r>
        <w:rPr>
          <w:rFonts w:ascii="Arial" w:cs="Arial" w:eastAsia="Arial" w:hAnsi="Arial"/>
          <w:color w:val="404040"/>
          <w:sz w:val="22"/>
          <w:szCs w:val="22"/>
        </w:rPr>
        <w:t xml:space="preserve">Pour les systèmes d'IA, le consentement doit mention explicitement l'utilisation pour l'apprentissage automatique ou l'analyse predictive</w:t>
      </w:r>
    </w:p>
    <w:p>
      <w:pPr>
        <w:pStyle w:val="Heading2"/>
      </w:pPr>
      <w:r>
        <w:t xml:space="preserve">2. Droit d'accès</w:t>
      </w:r>
    </w:p>
    <w:p>
      <w:r>
        <w:rPr>
          <w:rFonts w:ascii="Arial" w:cs="Arial" w:eastAsia="Arial" w:hAnsi="Arial"/>
          <w:color w:val="404040"/>
          <w:sz w:val="22"/>
          <w:szCs w:val="22"/>
        </w:rPr>
        <w:t xml:space="preserve">Toute personne a le droit d'acceder a ses propres renseignements personnels detenus par l'organisation.</w:t>
      </w:r>
    </w:p>
    <w:p>
      <w:pPr>
        <w:pStyle w:val="ListParagraph"/>
        <w:numPr>
          <w:ilvl w:val="0"/>
          <w:numId w:val="2"/>
        </w:numPr>
      </w:pPr>
      <w:r>
        <w:rPr>
          <w:rFonts w:ascii="Arial" w:cs="Arial" w:eastAsia="Arial" w:hAnsi="Arial"/>
          <w:color w:val="404040"/>
          <w:sz w:val="22"/>
          <w:szCs w:val="22"/>
        </w:rPr>
        <w:t xml:space="preserve">L'organisation doit répondre dans un delai raisonnable (generalement 30 jours)</w:t>
      </w:r>
    </w:p>
    <w:p>
      <w:pPr>
        <w:pStyle w:val="ListParagraph"/>
        <w:numPr>
          <w:ilvl w:val="0"/>
          <w:numId w:val="2"/>
        </w:numPr>
      </w:pPr>
      <w:r>
        <w:rPr>
          <w:rFonts w:ascii="Arial" w:cs="Arial" w:eastAsia="Arial" w:hAnsi="Arial"/>
          <w:color w:val="404040"/>
          <w:sz w:val="22"/>
          <w:szCs w:val="22"/>
        </w:rPr>
        <w:t xml:space="preserve">L'information doit être fournie dans un format compréhensible</w:t>
      </w:r>
    </w:p>
    <w:p>
      <w:pPr>
        <w:pStyle w:val="ListParagraph"/>
        <w:numPr>
          <w:ilvl w:val="0"/>
          <w:numId w:val="2"/>
        </w:numPr>
      </w:pPr>
      <w:r>
        <w:rPr>
          <w:rFonts w:ascii="Arial" w:cs="Arial" w:eastAsia="Arial" w:hAnsi="Arial"/>
          <w:color w:val="404040"/>
          <w:sz w:val="22"/>
          <w:szCs w:val="22"/>
        </w:rPr>
        <w:t xml:space="preserve">Aucun frais ne peut être impose pour une premiere demande</w:t>
      </w:r>
    </w:p>
    <w:p>
      <w:pPr>
        <w:pStyle w:val="ListParagraph"/>
        <w:numPr>
          <w:ilvl w:val="0"/>
          <w:numId w:val="2"/>
        </w:numPr>
      </w:pPr>
      <w:r>
        <w:rPr>
          <w:rFonts w:ascii="Arial" w:cs="Arial" w:eastAsia="Arial" w:hAnsi="Arial"/>
          <w:color w:val="404040"/>
          <w:sz w:val="22"/>
          <w:szCs w:val="22"/>
        </w:rPr>
        <w:t xml:space="preserve">Pour les systèmes d'IA, cela inclut l'accès aux données d'entraînement et aux logiques de décision</w:t>
      </w:r>
    </w:p>
    <w:p>
      <w:pPr>
        <w:pStyle w:val="Heading2"/>
      </w:pPr>
      <w:r>
        <w:t xml:space="preserve">3. Droit de rectification</w:t>
      </w:r>
    </w:p>
    <w:p>
      <w:r>
        <w:rPr>
          <w:rFonts w:ascii="Arial" w:cs="Arial" w:eastAsia="Arial" w:hAnsi="Arial"/>
          <w:color w:val="404040"/>
          <w:sz w:val="22"/>
          <w:szCs w:val="22"/>
        </w:rPr>
        <w:t xml:space="preserve">Toute personne peut demander la correction de renseignements personnels inexacts ou incomplets.</w:t>
      </w:r>
    </w:p>
    <w:p>
      <w:pPr>
        <w:pStyle w:val="ListParagraph"/>
        <w:numPr>
          <w:ilvl w:val="0"/>
          <w:numId w:val="2"/>
        </w:numPr>
      </w:pPr>
      <w:r>
        <w:rPr>
          <w:rFonts w:ascii="Arial" w:cs="Arial" w:eastAsia="Arial" w:hAnsi="Arial"/>
          <w:color w:val="404040"/>
          <w:sz w:val="22"/>
          <w:szCs w:val="22"/>
        </w:rPr>
        <w:t xml:space="preserve">L'organisation doit verifier l'exactitude des données</w:t>
      </w:r>
    </w:p>
    <w:p>
      <w:pPr>
        <w:pStyle w:val="ListParagraph"/>
        <w:numPr>
          <w:ilvl w:val="0"/>
          <w:numId w:val="2"/>
        </w:numPr>
      </w:pPr>
      <w:r>
        <w:rPr>
          <w:rFonts w:ascii="Arial" w:cs="Arial" w:eastAsia="Arial" w:hAnsi="Arial"/>
          <w:color w:val="404040"/>
          <w:sz w:val="22"/>
          <w:szCs w:val="22"/>
        </w:rPr>
        <w:t xml:space="preserve">Les données doivent être corrigees sans delai</w:t>
      </w:r>
    </w:p>
    <w:p>
      <w:pPr>
        <w:pStyle w:val="ListParagraph"/>
        <w:numPr>
          <w:ilvl w:val="0"/>
          <w:numId w:val="2"/>
        </w:numPr>
      </w:pPr>
      <w:r>
        <w:rPr>
          <w:rFonts w:ascii="Arial" w:cs="Arial" w:eastAsia="Arial" w:hAnsi="Arial"/>
          <w:color w:val="404040"/>
          <w:sz w:val="22"/>
          <w:szCs w:val="22"/>
        </w:rPr>
        <w:t xml:space="preserve">Les tiers qui ont recu les données doivent être notifies de la correction</w:t>
      </w:r>
    </w:p>
    <w:p>
      <w:pPr>
        <w:pStyle w:val="Heading2"/>
      </w:pPr>
      <w:r>
        <w:t xml:space="preserve">4. Droit a l'oubli</w:t>
      </w:r>
    </w:p>
    <w:p>
      <w:r>
        <w:rPr>
          <w:rFonts w:ascii="Arial" w:cs="Arial" w:eastAsia="Arial" w:hAnsi="Arial"/>
          <w:color w:val="404040"/>
          <w:sz w:val="22"/>
          <w:szCs w:val="22"/>
        </w:rPr>
        <w:t xml:space="preserve">Toute personne peut demander la suppression de ses renseignements personnels dans certaines circonstances.</w:t>
      </w:r>
    </w:p>
    <w:p>
      <w:pPr>
        <w:pStyle w:val="ListParagraph"/>
        <w:numPr>
          <w:ilvl w:val="0"/>
          <w:numId w:val="2"/>
        </w:numPr>
      </w:pPr>
      <w:r>
        <w:rPr>
          <w:rFonts w:ascii="Arial" w:cs="Arial" w:eastAsia="Arial" w:hAnsi="Arial"/>
          <w:color w:val="404040"/>
          <w:sz w:val="22"/>
          <w:szCs w:val="22"/>
        </w:rPr>
        <w:t xml:space="preserve">Les données peuvent être supprimees si la raison de la collecte n'existe plus</w:t>
      </w:r>
    </w:p>
    <w:p>
      <w:pPr>
        <w:pStyle w:val="ListParagraph"/>
        <w:numPr>
          <w:ilvl w:val="0"/>
          <w:numId w:val="2"/>
        </w:numPr>
      </w:pPr>
      <w:r>
        <w:rPr>
          <w:rFonts w:ascii="Arial" w:cs="Arial" w:eastAsia="Arial" w:hAnsi="Arial"/>
          <w:color w:val="404040"/>
          <w:sz w:val="22"/>
          <w:szCs w:val="22"/>
        </w:rPr>
        <w:t xml:space="preserve">La suppression doit s'etendre a tous les systèmes, y compris ceux d'IA</w:t>
      </w:r>
    </w:p>
    <w:p>
      <w:pPr>
        <w:pStyle w:val="ListParagraph"/>
        <w:numPr>
          <w:ilvl w:val="0"/>
          <w:numId w:val="2"/>
        </w:numPr>
      </w:pPr>
      <w:r>
        <w:rPr>
          <w:rFonts w:ascii="Arial" w:cs="Arial" w:eastAsia="Arial" w:hAnsi="Arial"/>
          <w:color w:val="404040"/>
          <w:sz w:val="22"/>
          <w:szCs w:val="22"/>
        </w:rPr>
        <w:t xml:space="preserve">Exceptions: obligations légales, conservation pour litiges, ou consentement continu</w:t>
      </w:r>
    </w:p>
    <w:p>
      <w:pPr>
        <w:pStyle w:val="ListParagraph"/>
        <w:numPr>
          <w:ilvl w:val="0"/>
          <w:numId w:val="2"/>
        </w:numPr>
      </w:pPr>
      <w:r>
        <w:rPr>
          <w:rFonts w:ascii="Arial" w:cs="Arial" w:eastAsia="Arial" w:hAnsi="Arial"/>
          <w:color w:val="404040"/>
          <w:sz w:val="22"/>
          <w:szCs w:val="22"/>
        </w:rPr>
        <w:t xml:space="preserve">Pour les systèmes d'IA, cela peut necessiter un reclassement ou une retraining si les données ont été utilisées pour l'entraînement</w:t>
      </w:r>
    </w:p>
    <w:p>
      <w:pPr>
        <w:pStyle w:val="Heading2"/>
      </w:pPr>
      <w:r>
        <w:t xml:space="preserve">5. Notification en cas de violation de sécurité</w:t>
      </w:r>
    </w:p>
    <w:p>
      <w:r>
        <w:rPr>
          <w:rFonts w:ascii="Arial" w:cs="Arial" w:eastAsia="Arial" w:hAnsi="Arial"/>
          <w:color w:val="404040"/>
          <w:sz w:val="22"/>
          <w:szCs w:val="22"/>
        </w:rPr>
        <w:t xml:space="preserve">La Loi 25 impose la notification a la CNIL et aux personnes affectées en cas de violation de données personnelles.</w:t>
      </w:r>
    </w:p>
    <w:p>
      <w:pPr>
        <w:pStyle w:val="ListParagraph"/>
        <w:numPr>
          <w:ilvl w:val="0"/>
          <w:numId w:val="2"/>
        </w:numPr>
      </w:pPr>
      <w:r>
        <w:rPr>
          <w:rFonts w:ascii="Arial" w:cs="Arial" w:eastAsia="Arial" w:hAnsi="Arial"/>
          <w:color w:val="404040"/>
          <w:sz w:val="22"/>
          <w:szCs w:val="22"/>
        </w:rPr>
        <w:t xml:space="preserve">La notification doit être faite sans delai, idealement dans les 72 heures</w:t>
      </w:r>
    </w:p>
    <w:p>
      <w:pPr>
        <w:pStyle w:val="ListParagraph"/>
        <w:numPr>
          <w:ilvl w:val="0"/>
          <w:numId w:val="2"/>
        </w:numPr>
      </w:pPr>
      <w:r>
        <w:rPr>
          <w:rFonts w:ascii="Arial" w:cs="Arial" w:eastAsia="Arial" w:hAnsi="Arial"/>
          <w:color w:val="404040"/>
          <w:sz w:val="22"/>
          <w:szCs w:val="22"/>
        </w:rPr>
        <w:t xml:space="preserve">L'organisation doit documenter l'incident et les mesures correctives</w:t>
      </w:r>
    </w:p>
    <w:p>
      <w:pPr>
        <w:pStyle w:val="ListParagraph"/>
        <w:numPr>
          <w:ilvl w:val="0"/>
          <w:numId w:val="2"/>
        </w:numPr>
      </w:pPr>
      <w:r>
        <w:rPr>
          <w:rFonts w:ascii="Arial" w:cs="Arial" w:eastAsia="Arial" w:hAnsi="Arial"/>
          <w:color w:val="404040"/>
          <w:sz w:val="22"/>
          <w:szCs w:val="22"/>
        </w:rPr>
        <w:t xml:space="preserve">La notification doit inclure une description du type de données compromises et les mesures de protection mises en place</w:t>
      </w:r>
    </w:p>
    <w:p>
      <w:pPr>
        <w:pStyle w:val="Heading1"/>
      </w:pPr>
      <w:r>
        <w:t xml:space="preserve">Articles pertinents pour les systèmes d'IA</w:t>
      </w:r>
    </w:p>
    <w:p>
      <w:pPr>
        <w:pStyle w:val="Heading2"/>
      </w:pPr>
      <w:r>
        <w:t xml:space="preserve">Article 3 - consentement pour la collecte</w:t>
      </w:r>
    </w:p>
    <w:p>
      <w:r>
        <w:rPr>
          <w:rFonts w:ascii="Arial" w:cs="Arial" w:eastAsia="Arial" w:hAnsi="Arial"/>
          <w:color w:val="404040"/>
          <w:sz w:val="22"/>
          <w:szCs w:val="22"/>
        </w:rPr>
        <w:t xml:space="preserve">Tout traitement de renseignements personnels par un système d'IA doit faire l'objet d'un consentement explicite. Pour les systèmes d'IA générative, le consentement doit mentionner specifically l'utilisation pour générer du contenu baséé sur les données personnelles.</w:t>
      </w:r>
    </w:p>
    <w:p>
      <w:pPr>
        <w:pStyle w:val="Heading2"/>
      </w:pPr>
      <w:r>
        <w:t xml:space="preserve">Article 8 - Sécurité des données</w:t>
      </w:r>
    </w:p>
    <w:p>
      <w:r>
        <w:rPr>
          <w:rFonts w:ascii="Arial" w:cs="Arial" w:eastAsia="Arial" w:hAnsi="Arial"/>
          <w:color w:val="404040"/>
          <w:sz w:val="22"/>
          <w:szCs w:val="22"/>
        </w:rPr>
        <w:t xml:space="preserve">L'organisation doit mettre en place des mesures de sécurité appropriees pour proteger les données utilisées par les systèmes d'IA, y compris :</w:t>
      </w:r>
    </w:p>
    <w:p>
      <w:pPr>
        <w:pStyle w:val="ListParagraph"/>
        <w:numPr>
          <w:ilvl w:val="0"/>
          <w:numId w:val="2"/>
        </w:numPr>
      </w:pPr>
      <w:r>
        <w:rPr>
          <w:rFonts w:ascii="Arial" w:cs="Arial" w:eastAsia="Arial" w:hAnsi="Arial"/>
          <w:color w:val="404040"/>
          <w:sz w:val="22"/>
          <w:szCs w:val="22"/>
        </w:rPr>
        <w:t xml:space="preserve">Chiffrement des données sensibles</w:t>
      </w:r>
    </w:p>
    <w:p>
      <w:pPr>
        <w:pStyle w:val="ListParagraph"/>
        <w:numPr>
          <w:ilvl w:val="0"/>
          <w:numId w:val="2"/>
        </w:numPr>
      </w:pPr>
      <w:r>
        <w:rPr>
          <w:rFonts w:ascii="Arial" w:cs="Arial" w:eastAsia="Arial" w:hAnsi="Arial"/>
          <w:color w:val="404040"/>
          <w:sz w:val="22"/>
          <w:szCs w:val="22"/>
        </w:rPr>
        <w:t xml:space="preserve">Controle d'accès stricte</w:t>
      </w:r>
    </w:p>
    <w:p>
      <w:pPr>
        <w:pStyle w:val="ListParagraph"/>
        <w:numPr>
          <w:ilvl w:val="0"/>
          <w:numId w:val="2"/>
        </w:numPr>
      </w:pPr>
      <w:r>
        <w:rPr>
          <w:rFonts w:ascii="Arial" w:cs="Arial" w:eastAsia="Arial" w:hAnsi="Arial"/>
          <w:color w:val="404040"/>
          <w:sz w:val="22"/>
          <w:szCs w:val="22"/>
        </w:rPr>
        <w:t xml:space="preserve">Monitoring des accès et des modifications</w:t>
      </w:r>
    </w:p>
    <w:p>
      <w:pPr>
        <w:pStyle w:val="ListParagraph"/>
        <w:numPr>
          <w:ilvl w:val="0"/>
          <w:numId w:val="2"/>
        </w:numPr>
      </w:pPr>
      <w:r>
        <w:rPr>
          <w:rFonts w:ascii="Arial" w:cs="Arial" w:eastAsia="Arial" w:hAnsi="Arial"/>
          <w:color w:val="404040"/>
          <w:sz w:val="22"/>
          <w:szCs w:val="22"/>
        </w:rPr>
        <w:t xml:space="preserve">Plan de réponse aux incidents</w:t>
      </w:r>
    </w:p>
    <w:p>
      <w:pPr>
        <w:pStyle w:val="Heading2"/>
      </w:pPr>
      <w:r>
        <w:t xml:space="preserve">Article 12.1 - Decisions automatisees (nouveaute majeure)</w:t>
      </w:r>
    </w:p>
    <w:p>
      <w:r>
        <w:rPr>
          <w:rFonts w:ascii="Arial" w:cs="Arial" w:eastAsia="Arial" w:hAnsi="Arial"/>
          <w:color w:val="404040"/>
          <w:sz w:val="22"/>
          <w:szCs w:val="22"/>
        </w:rPr>
        <w:t xml:space="preserve">L'article 12.1 est une addition majeure de la Loi 25 concernant les décisions prises entièrement ou principalement par des moyens automatises.</w:t>
      </w:r>
    </w:p>
    <w:p>
      <w:pPr>
        <w:pStyle w:val="ListParagraph"/>
        <w:numPr>
          <w:ilvl w:val="0"/>
          <w:numId w:val="2"/>
        </w:numPr>
      </w:pPr>
      <w:r>
        <w:rPr>
          <w:rFonts w:ascii="Arial" w:cs="Arial" w:eastAsia="Arial" w:hAnsi="Arial"/>
          <w:color w:val="404040"/>
          <w:sz w:val="22"/>
          <w:szCs w:val="22"/>
        </w:rPr>
        <w:t xml:space="preserve">Une personne a le droit d'être informee d'une décision entièrement automatisée qui la concerne</w:t>
      </w:r>
    </w:p>
    <w:p>
      <w:pPr>
        <w:pStyle w:val="ListParagraph"/>
        <w:numPr>
          <w:ilvl w:val="0"/>
          <w:numId w:val="2"/>
        </w:numPr>
      </w:pPr>
      <w:r>
        <w:rPr>
          <w:rFonts w:ascii="Arial" w:cs="Arial" w:eastAsia="Arial" w:hAnsi="Arial"/>
          <w:color w:val="404040"/>
          <w:sz w:val="22"/>
          <w:szCs w:val="22"/>
        </w:rPr>
        <w:t xml:space="preserve">Une personne peut demander la révision manuelle d'une décision automatisée</w:t>
      </w:r>
    </w:p>
    <w:p>
      <w:pPr>
        <w:pStyle w:val="ListParagraph"/>
        <w:numPr>
          <w:ilvl w:val="0"/>
          <w:numId w:val="2"/>
        </w:numPr>
      </w:pPr>
      <w:r>
        <w:rPr>
          <w:rFonts w:ascii="Arial" w:cs="Arial" w:eastAsia="Arial" w:hAnsi="Arial"/>
          <w:color w:val="404040"/>
          <w:sz w:val="22"/>
          <w:szCs w:val="22"/>
        </w:rPr>
        <w:t xml:space="preserve">Une personne peut demander des explications sur la baséé de la décision</w:t>
      </w:r>
    </w:p>
    <w:p>
      <w:pPr>
        <w:pStyle w:val="ListParagraph"/>
        <w:numPr>
          <w:ilvl w:val="0"/>
          <w:numId w:val="2"/>
        </w:numPr>
      </w:pPr>
      <w:r>
        <w:rPr>
          <w:rFonts w:ascii="Arial" w:cs="Arial" w:eastAsia="Arial" w:hAnsi="Arial"/>
          <w:color w:val="404040"/>
          <w:sz w:val="22"/>
          <w:szCs w:val="22"/>
        </w:rPr>
        <w:t xml:space="preserve">L'organisation doit maintenir un registre des décisions automatisees (voir document 44)</w:t>
      </w:r>
    </w:p>
    <w:p>
      <w:r>
        <w:rPr>
          <w:rFonts w:ascii="Arial" w:cs="Arial" w:eastAsia="Arial" w:hAnsi="Arial"/>
          <w:color w:val="404040"/>
          <w:sz w:val="22"/>
          <w:szCs w:val="22"/>
        </w:rPr>
        <w:t xml:space="preserve">exemples de décisions automatisees : approbation de crédit, sélection de candidats, determination d'eligibilite a un service, évaluation de risque crediteur, determination de tarifs d'assurance.</w:t>
      </w:r>
    </w:p>
    <w:p>
      <w:pPr>
        <w:pStyle w:val="Heading2"/>
      </w:pPr>
      <w:r>
        <w:t xml:space="preserve">Article 14 - droits des personnes (Art 14-18)</w:t>
      </w:r>
    </w:p>
    <w:p>
      <w:r>
        <w:rPr>
          <w:rFonts w:ascii="Arial" w:cs="Arial" w:eastAsia="Arial" w:hAnsi="Arial"/>
          <w:color w:val="404040"/>
          <w:sz w:val="22"/>
          <w:szCs w:val="22"/>
        </w:rPr>
        <w:t xml:space="preserve">Les articles 14 a 18 detaillent les droits des personnes concernant leurs renseignements personnels :</w:t>
      </w:r>
    </w:p>
    <w:p>
      <w:pPr>
        <w:pStyle w:val="ListParagraph"/>
        <w:numPr>
          <w:ilvl w:val="0"/>
          <w:numId w:val="2"/>
        </w:numPr>
      </w:pPr>
      <w:r>
        <w:rPr>
          <w:rFonts w:ascii="Arial" w:cs="Arial" w:eastAsia="Arial" w:hAnsi="Arial"/>
          <w:color w:val="404040"/>
          <w:sz w:val="22"/>
          <w:szCs w:val="22"/>
        </w:rPr>
        <w:t xml:space="preserve">Droit d'accès (Art. 14) : acceder a ses renseignements</w:t>
      </w:r>
    </w:p>
    <w:p>
      <w:pPr>
        <w:pStyle w:val="ListParagraph"/>
        <w:numPr>
          <w:ilvl w:val="0"/>
          <w:numId w:val="2"/>
        </w:numPr>
      </w:pPr>
      <w:r>
        <w:rPr>
          <w:rFonts w:ascii="Arial" w:cs="Arial" w:eastAsia="Arial" w:hAnsi="Arial"/>
          <w:color w:val="404040"/>
          <w:sz w:val="22"/>
          <w:szCs w:val="22"/>
        </w:rPr>
        <w:t xml:space="preserve">Droit de rectification (Art. 15) : corriger les données inexactes</w:t>
      </w:r>
    </w:p>
    <w:p>
      <w:pPr>
        <w:pStyle w:val="ListParagraph"/>
        <w:numPr>
          <w:ilvl w:val="0"/>
          <w:numId w:val="2"/>
        </w:numPr>
      </w:pPr>
      <w:r>
        <w:rPr>
          <w:rFonts w:ascii="Arial" w:cs="Arial" w:eastAsia="Arial" w:hAnsi="Arial"/>
          <w:color w:val="404040"/>
          <w:sz w:val="22"/>
          <w:szCs w:val="22"/>
        </w:rPr>
        <w:t xml:space="preserve">Droit a l'oubli (Art. 16) : demander la suppression</w:t>
      </w:r>
    </w:p>
    <w:p>
      <w:pPr>
        <w:pStyle w:val="ListParagraph"/>
        <w:numPr>
          <w:ilvl w:val="0"/>
          <w:numId w:val="2"/>
        </w:numPr>
      </w:pPr>
      <w:r>
        <w:rPr>
          <w:rFonts w:ascii="Arial" w:cs="Arial" w:eastAsia="Arial" w:hAnsi="Arial"/>
          <w:color w:val="404040"/>
          <w:sz w:val="22"/>
          <w:szCs w:val="22"/>
        </w:rPr>
        <w:t xml:space="preserve">Droit de portabilite : obtenir ses données dans un format structurée</w:t>
      </w:r>
    </w:p>
    <w:p>
      <w:pPr>
        <w:pStyle w:val="Heading1"/>
      </w:pPr>
      <w:r>
        <w:t xml:space="preserve">obligations specifiques pour les systèmes d'IA</w:t>
      </w:r>
    </w:p>
    <w:p>
      <w:pPr>
        <w:pStyle w:val="Heading2"/>
      </w:pPr>
      <w:r>
        <w:t xml:space="preserve">1. registre des traitements de données</w:t>
      </w:r>
    </w:p>
    <w:p>
      <w:r>
        <w:rPr>
          <w:rFonts w:ascii="Arial" w:cs="Arial" w:eastAsia="Arial" w:hAnsi="Arial"/>
          <w:color w:val="404040"/>
          <w:sz w:val="22"/>
          <w:szCs w:val="22"/>
        </w:rPr>
        <w:t xml:space="preserve">L'organisation doit maintenir un registre documentant tous les systèmes d'IA qui traitent des renseignements personnels, notamment :</w:t>
      </w:r>
    </w:p>
    <w:p>
      <w:pPr>
        <w:pStyle w:val="ListParagraph"/>
        <w:numPr>
          <w:ilvl w:val="0"/>
          <w:numId w:val="2"/>
        </w:numPr>
      </w:pPr>
      <w:r>
        <w:rPr>
          <w:rFonts w:ascii="Arial" w:cs="Arial" w:eastAsia="Arial" w:hAnsi="Arial"/>
          <w:color w:val="404040"/>
          <w:sz w:val="22"/>
          <w:szCs w:val="22"/>
        </w:rPr>
        <w:t xml:space="preserve">Nom et description du système d'IA</w:t>
      </w:r>
    </w:p>
    <w:p>
      <w:pPr>
        <w:pStyle w:val="ListParagraph"/>
        <w:numPr>
          <w:ilvl w:val="0"/>
          <w:numId w:val="2"/>
        </w:numPr>
      </w:pPr>
      <w:r>
        <w:rPr>
          <w:rFonts w:ascii="Arial" w:cs="Arial" w:eastAsia="Arial" w:hAnsi="Arial"/>
          <w:color w:val="404040"/>
          <w:sz w:val="22"/>
          <w:szCs w:val="22"/>
        </w:rPr>
        <w:t xml:space="preserve">Finalites du traitement (ex: predire le risque de depart, selectionner les meilleurs candidats)</w:t>
      </w:r>
    </w:p>
    <w:p>
      <w:pPr>
        <w:pStyle w:val="ListParagraph"/>
        <w:numPr>
          <w:ilvl w:val="0"/>
          <w:numId w:val="2"/>
        </w:numPr>
      </w:pPr>
      <w:r>
        <w:rPr>
          <w:rFonts w:ascii="Arial" w:cs="Arial" w:eastAsia="Arial" w:hAnsi="Arial"/>
          <w:color w:val="404040"/>
          <w:sz w:val="22"/>
          <w:szCs w:val="22"/>
        </w:rPr>
        <w:t xml:space="preserve">catégories de données personnelles utilisées</w:t>
      </w:r>
    </w:p>
    <w:p>
      <w:pPr>
        <w:pStyle w:val="ListParagraph"/>
        <w:numPr>
          <w:ilvl w:val="0"/>
          <w:numId w:val="2"/>
        </w:numPr>
      </w:pPr>
      <w:r>
        <w:rPr>
          <w:rFonts w:ascii="Arial" w:cs="Arial" w:eastAsia="Arial" w:hAnsi="Arial"/>
          <w:color w:val="404040"/>
          <w:sz w:val="22"/>
          <w:szCs w:val="22"/>
        </w:rPr>
        <w:t xml:space="preserve">Retention et procedure de suppression</w:t>
      </w:r>
    </w:p>
    <w:p>
      <w:pPr>
        <w:pStyle w:val="ListParagraph"/>
        <w:numPr>
          <w:ilvl w:val="0"/>
          <w:numId w:val="2"/>
        </w:numPr>
      </w:pPr>
      <w:r>
        <w:rPr>
          <w:rFonts w:ascii="Arial" w:cs="Arial" w:eastAsia="Arial" w:hAnsi="Arial"/>
          <w:color w:val="404040"/>
          <w:sz w:val="22"/>
          <w:szCs w:val="22"/>
        </w:rPr>
        <w:t xml:space="preserve">mesures de sécurité en place</w:t>
      </w:r>
    </w:p>
    <w:p>
      <w:pPr>
        <w:pStyle w:val="ListParagraph"/>
        <w:numPr>
          <w:ilvl w:val="0"/>
          <w:numId w:val="2"/>
        </w:numPr>
      </w:pPr>
      <w:r>
        <w:rPr>
          <w:rFonts w:ascii="Arial" w:cs="Arial" w:eastAsia="Arial" w:hAnsi="Arial"/>
          <w:color w:val="404040"/>
          <w:sz w:val="22"/>
          <w:szCs w:val="22"/>
        </w:rPr>
        <w:t xml:space="preserve">responsable du traitement</w:t>
      </w:r>
    </w:p>
    <w:p>
      <w:pPr>
        <w:pStyle w:val="Heading2"/>
      </w:pPr>
      <w:r>
        <w:t xml:space="preserve">2. évaluation de l'impact sur la vie privee (EIVP)</w:t>
      </w:r>
    </w:p>
    <w:p>
      <w:r>
        <w:rPr>
          <w:rFonts w:ascii="Arial" w:cs="Arial" w:eastAsia="Arial" w:hAnsi="Arial"/>
          <w:color w:val="404040"/>
          <w:sz w:val="22"/>
          <w:szCs w:val="22"/>
        </w:rPr>
        <w:t xml:space="preserve">Pour tout système d'IA utilisant des données sensibles (santé, origine, croyances), une EIVP doit être realisee.</w:t>
      </w:r>
    </w:p>
    <w:p>
      <w:pPr>
        <w:pStyle w:val="ListParagraph"/>
        <w:numPr>
          <w:ilvl w:val="0"/>
          <w:numId w:val="2"/>
        </w:numPr>
      </w:pPr>
      <w:r>
        <w:rPr>
          <w:rFonts w:ascii="Arial" w:cs="Arial" w:eastAsia="Arial" w:hAnsi="Arial"/>
          <w:color w:val="404040"/>
          <w:sz w:val="22"/>
          <w:szCs w:val="22"/>
        </w:rPr>
        <w:t xml:space="preserve">Documentation des risques pour la vie privee</w:t>
      </w:r>
    </w:p>
    <w:p>
      <w:pPr>
        <w:pStyle w:val="ListParagraph"/>
        <w:numPr>
          <w:ilvl w:val="0"/>
          <w:numId w:val="2"/>
        </w:numPr>
      </w:pPr>
      <w:r>
        <w:rPr>
          <w:rFonts w:ascii="Arial" w:cs="Arial" w:eastAsia="Arial" w:hAnsi="Arial"/>
          <w:color w:val="404040"/>
          <w:sz w:val="22"/>
          <w:szCs w:val="22"/>
        </w:rPr>
        <w:t xml:space="preserve">Identification des mesures d'atténuation</w:t>
      </w:r>
    </w:p>
    <w:p>
      <w:pPr>
        <w:pStyle w:val="ListParagraph"/>
        <w:numPr>
          <w:ilvl w:val="0"/>
          <w:numId w:val="2"/>
        </w:numPr>
      </w:pPr>
      <w:r>
        <w:rPr>
          <w:rFonts w:ascii="Arial" w:cs="Arial" w:eastAsia="Arial" w:hAnsi="Arial"/>
          <w:color w:val="404040"/>
          <w:sz w:val="22"/>
          <w:szCs w:val="22"/>
        </w:rPr>
        <w:t xml:space="preserve">Consultation des parties prenantes si risques eleves</w:t>
      </w:r>
    </w:p>
    <w:p>
      <w:pPr>
        <w:pStyle w:val="Heading2"/>
      </w:pPr>
      <w:r>
        <w:t xml:space="preserve">3. Notification d'incident</w:t>
      </w:r>
    </w:p>
    <w:p>
      <w:r>
        <w:rPr>
          <w:rFonts w:ascii="Arial" w:cs="Arial" w:eastAsia="Arial" w:hAnsi="Arial"/>
          <w:color w:val="404040"/>
          <w:sz w:val="22"/>
          <w:szCs w:val="22"/>
        </w:rPr>
        <w:t xml:space="preserve">Un incident de confidentialité liee a un système d'IA doit être notifie selon les procedures de la Loi 25 :</w:t>
      </w:r>
    </w:p>
    <w:p>
      <w:pPr>
        <w:pStyle w:val="ListParagraph"/>
        <w:numPr>
          <w:ilvl w:val="0"/>
          <w:numId w:val="2"/>
        </w:numPr>
      </w:pPr>
      <w:r>
        <w:rPr>
          <w:rFonts w:ascii="Arial" w:cs="Arial" w:eastAsia="Arial" w:hAnsi="Arial"/>
          <w:color w:val="404040"/>
          <w:sz w:val="22"/>
          <w:szCs w:val="22"/>
        </w:rPr>
        <w:t xml:space="preserve">Comprendre l'incident et ses causes</w:t>
      </w:r>
    </w:p>
    <w:p>
      <w:pPr>
        <w:pStyle w:val="ListParagraph"/>
        <w:numPr>
          <w:ilvl w:val="0"/>
          <w:numId w:val="2"/>
        </w:numPr>
      </w:pPr>
      <w:r>
        <w:rPr>
          <w:rFonts w:ascii="Arial" w:cs="Arial" w:eastAsia="Arial" w:hAnsi="Arial"/>
          <w:color w:val="404040"/>
          <w:sz w:val="22"/>
          <w:szCs w:val="22"/>
        </w:rPr>
        <w:t xml:space="preserve">Evaluer l'impact sur les personnes affectées</w:t>
      </w:r>
    </w:p>
    <w:p>
      <w:pPr>
        <w:pStyle w:val="ListParagraph"/>
        <w:numPr>
          <w:ilvl w:val="0"/>
          <w:numId w:val="2"/>
        </w:numPr>
      </w:pPr>
      <w:r>
        <w:rPr>
          <w:rFonts w:ascii="Arial" w:cs="Arial" w:eastAsia="Arial" w:hAnsi="Arial"/>
          <w:color w:val="404040"/>
          <w:sz w:val="22"/>
          <w:szCs w:val="22"/>
        </w:rPr>
        <w:t xml:space="preserve">Notifier la CNIL et les personnes affectées</w:t>
      </w:r>
    </w:p>
    <w:p>
      <w:pPr>
        <w:pStyle w:val="ListParagraph"/>
        <w:numPr>
          <w:ilvl w:val="0"/>
          <w:numId w:val="2"/>
        </w:numPr>
      </w:pPr>
      <w:r>
        <w:rPr>
          <w:rFonts w:ascii="Arial" w:cs="Arial" w:eastAsia="Arial" w:hAnsi="Arial"/>
          <w:color w:val="404040"/>
          <w:sz w:val="22"/>
          <w:szCs w:val="22"/>
        </w:rPr>
        <w:t xml:space="preserve">Documenter les mesures correctives</w:t>
      </w:r>
    </w:p>
    <w:p>
      <w:pPr>
        <w:pStyle w:val="Heading2"/>
      </w:pPr>
      <w:r>
        <w:t xml:space="preserve">4. Accord d'utilisation de données avec les tiers</w:t>
      </w:r>
    </w:p>
    <w:p>
      <w:r>
        <w:rPr>
          <w:rFonts w:ascii="Arial" w:cs="Arial" w:eastAsia="Arial" w:hAnsi="Arial"/>
          <w:color w:val="404040"/>
          <w:sz w:val="22"/>
          <w:szCs w:val="22"/>
        </w:rPr>
        <w:t xml:space="preserve">Si l'organisation partage des données avec des fournisseurs d'IA (ex: plateformes d'IA générative), un accord doit specifier :</w:t>
      </w:r>
    </w:p>
    <w:p>
      <w:pPr>
        <w:pStyle w:val="ListParagraph"/>
        <w:numPr>
          <w:ilvl w:val="0"/>
          <w:numId w:val="2"/>
        </w:numPr>
      </w:pPr>
      <w:r>
        <w:rPr>
          <w:rFonts w:ascii="Arial" w:cs="Arial" w:eastAsia="Arial" w:hAnsi="Arial"/>
          <w:color w:val="404040"/>
          <w:sz w:val="22"/>
          <w:szCs w:val="22"/>
        </w:rPr>
        <w:t xml:space="preserve">Les finalites exactes du partage des données</w:t>
      </w:r>
    </w:p>
    <w:p>
      <w:pPr>
        <w:pStyle w:val="ListParagraph"/>
        <w:numPr>
          <w:ilvl w:val="0"/>
          <w:numId w:val="2"/>
        </w:numPr>
      </w:pPr>
      <w:r>
        <w:rPr>
          <w:rFonts w:ascii="Arial" w:cs="Arial" w:eastAsia="Arial" w:hAnsi="Arial"/>
          <w:color w:val="404040"/>
          <w:sz w:val="22"/>
          <w:szCs w:val="22"/>
        </w:rPr>
        <w:t xml:space="preserve">Les mesures de sécurité requises</w:t>
      </w:r>
    </w:p>
    <w:p>
      <w:pPr>
        <w:pStyle w:val="ListParagraph"/>
        <w:numPr>
          <w:ilvl w:val="0"/>
          <w:numId w:val="2"/>
        </w:numPr>
      </w:pPr>
      <w:r>
        <w:rPr>
          <w:rFonts w:ascii="Arial" w:cs="Arial" w:eastAsia="Arial" w:hAnsi="Arial"/>
          <w:color w:val="404040"/>
          <w:sz w:val="22"/>
          <w:szCs w:val="22"/>
        </w:rPr>
        <w:t xml:space="preserve">Les droits des personnes (accès, rectification, suppression)</w:t>
      </w:r>
    </w:p>
    <w:p>
      <w:pPr>
        <w:pStyle w:val="ListParagraph"/>
        <w:numPr>
          <w:ilvl w:val="0"/>
          <w:numId w:val="2"/>
        </w:numPr>
      </w:pPr>
      <w:r>
        <w:rPr>
          <w:rFonts w:ascii="Arial" w:cs="Arial" w:eastAsia="Arial" w:hAnsi="Arial"/>
          <w:color w:val="404040"/>
          <w:sz w:val="22"/>
          <w:szCs w:val="22"/>
        </w:rPr>
        <w:t xml:space="preserve">La duree de conservation des données</w:t>
      </w:r>
    </w:p>
    <w:p>
      <w:pPr>
        <w:pStyle w:val="ListParagraph"/>
        <w:numPr>
          <w:ilvl w:val="0"/>
          <w:numId w:val="2"/>
        </w:numPr>
      </w:pPr>
      <w:r>
        <w:rPr>
          <w:rFonts w:ascii="Arial" w:cs="Arial" w:eastAsia="Arial" w:hAnsi="Arial"/>
          <w:color w:val="404040"/>
          <w:sz w:val="22"/>
          <w:szCs w:val="22"/>
        </w:rPr>
        <w:t xml:space="preserve">La notification en cas de violation</w:t>
      </w:r>
    </w:p>
    <w:p>
      <w:pPr>
        <w:pStyle w:val="Heading1"/>
      </w:pPr>
      <w:r>
        <w:t xml:space="preserve">conformité avec d'autres lois</w:t>
      </w:r>
    </w:p>
    <w:p>
      <w:pPr>
        <w:pStyle w:val="Heading2"/>
      </w:pPr>
      <w:r>
        <w:t xml:space="preserve">Loi 25 vs RGPD</w:t>
      </w:r>
    </w:p>
    <w:p>
      <w:r>
        <w:rPr>
          <w:rFonts w:ascii="Arial" w:cs="Arial" w:eastAsia="Arial" w:hAnsi="Arial"/>
          <w:color w:val="404040"/>
          <w:sz w:val="22"/>
          <w:szCs w:val="22"/>
        </w:rPr>
        <w:t xml:space="preserve">Si [NOM_ORGANISATION] traite egalement des données de résidents de l'UE, elle doit se conformer au RGPD. Le RGPD est generalement plus strict que la Loi 25 en certains domaines (ex: article 22 sur les décisions automatisees).</w:t>
      </w:r>
    </w:p>
    <w:p>
      <w:r>
        <w:rPr>
          <w:rFonts w:ascii="Arial" w:cs="Arial" w:eastAsia="Arial" w:hAnsi="Arial"/>
          <w:color w:val="404040"/>
          <w:sz w:val="22"/>
          <w:szCs w:val="22"/>
        </w:rPr>
        <w:t xml:space="preserve">Approche recommandee : appliquer le standard le plus strict (RGPD) pour tous les traitements de données personnelles, quel que soit le lieu de residence des personnes.</w:t>
      </w:r>
    </w:p>
    <w:p>
      <w:pPr>
        <w:pStyle w:val="Heading2"/>
      </w:pPr>
      <w:r>
        <w:t xml:space="preserve">Loi 25 vs C-27/LIAD</w:t>
      </w:r>
    </w:p>
    <w:p>
      <w:r>
        <w:rPr>
          <w:rFonts w:ascii="Arial" w:cs="Arial" w:eastAsia="Arial" w:hAnsi="Arial"/>
          <w:color w:val="404040"/>
          <w:sz w:val="22"/>
          <w:szCs w:val="22"/>
        </w:rPr>
        <w:t xml:space="preserve">La Loi 25 se concentre sur la protection des renseignements personnels, tandis que la C-27/LIAD (projet de loi fédéral) se concentre sur la gouvernance des systèmes d'IA à incidence élevée. Les deux lois s'appliquent et doivent être respectees conjointement.</w:t>
      </w:r>
    </w:p>
    <w:p>
      <w:r>
        <w:br w:type="page"/>
      </w:r>
    </w:p>
    <w:p>
      <w:pPr>
        <w:pStyle w:val="Heading1"/>
      </w:pPr>
      <w:r>
        <w:t xml:space="preserve">Checklist d'implementation de la Loi 25 pour les systèmes d'IA</w:t>
      </w:r>
    </w:p>
    <w:p>
      <w:r>
        <w:rPr>
          <w:rFonts w:ascii="Arial" w:cs="Arial" w:eastAsia="Arial" w:hAnsi="Arial"/>
          <w:color w:val="404040"/>
          <w:sz w:val="22"/>
          <w:szCs w:val="22"/>
        </w:rPr>
        <w:t xml:space="preserve">Pour chaque nouveau système d'IA, verifiez les éléments suivants :</w:t>
      </w:r>
    </w:p>
    <w:p>
      <w:pPr>
        <w:pStyle w:val="ListParagraph"/>
        <w:numPr>
          <w:ilvl w:val="0"/>
          <w:numId w:val="3"/>
        </w:numPr>
      </w:pPr>
      <w:r>
        <w:rPr>
          <w:rFonts w:ascii="Arial" w:cs="Arial" w:eastAsia="Arial" w:hAnsi="Arial"/>
          <w:color w:val="404040"/>
          <w:sz w:val="22"/>
          <w:szCs w:val="22"/>
        </w:rPr>
        <w:t xml:space="preserve">Le consentement explicite a été-t-il obtenu avant de collecter des données personnelles?</w:t>
      </w:r>
    </w:p>
    <w:p>
      <w:pPr>
        <w:pStyle w:val="ListParagraph"/>
        <w:numPr>
          <w:ilvl w:val="0"/>
          <w:numId w:val="3"/>
        </w:numPr>
      </w:pPr>
      <w:r>
        <w:rPr>
          <w:rFonts w:ascii="Arial" w:cs="Arial" w:eastAsia="Arial" w:hAnsi="Arial"/>
          <w:color w:val="404040"/>
          <w:sz w:val="22"/>
          <w:szCs w:val="22"/>
        </w:rPr>
        <w:t xml:space="preserve">Les personnes ont-elles été informees que leurs données seront utilisées par un système d'IA?</w:t>
      </w:r>
    </w:p>
    <w:p>
      <w:pPr>
        <w:pStyle w:val="ListParagraph"/>
        <w:numPr>
          <w:ilvl w:val="0"/>
          <w:numId w:val="3"/>
        </w:numPr>
      </w:pPr>
      <w:r>
        <w:rPr>
          <w:rFonts w:ascii="Arial" w:cs="Arial" w:eastAsia="Arial" w:hAnsi="Arial"/>
          <w:color w:val="404040"/>
          <w:sz w:val="22"/>
          <w:szCs w:val="22"/>
        </w:rPr>
        <w:t xml:space="preserve">Un registre des traitements de données a-t-il été cree pour ce système?</w:t>
      </w:r>
    </w:p>
    <w:p>
      <w:pPr>
        <w:pStyle w:val="ListParagraph"/>
        <w:numPr>
          <w:ilvl w:val="0"/>
          <w:numId w:val="3"/>
        </w:numPr>
      </w:pPr>
      <w:r>
        <w:rPr>
          <w:rFonts w:ascii="Arial" w:cs="Arial" w:eastAsia="Arial" w:hAnsi="Arial"/>
          <w:color w:val="404040"/>
          <w:sz w:val="22"/>
          <w:szCs w:val="22"/>
        </w:rPr>
        <w:t xml:space="preserve">Une EIVP a-t-elle été realisee (si données sensibles)?</w:t>
      </w:r>
    </w:p>
    <w:p>
      <w:pPr>
        <w:pStyle w:val="ListParagraph"/>
        <w:numPr>
          <w:ilvl w:val="0"/>
          <w:numId w:val="3"/>
        </w:numPr>
      </w:pPr>
      <w:r>
        <w:rPr>
          <w:rFonts w:ascii="Arial" w:cs="Arial" w:eastAsia="Arial" w:hAnsi="Arial"/>
          <w:color w:val="404040"/>
          <w:sz w:val="22"/>
          <w:szCs w:val="22"/>
        </w:rPr>
        <w:t xml:space="preserve">Un plan de réponse aux incidents a-t-il été préparé?</w:t>
      </w:r>
    </w:p>
    <w:p>
      <w:pPr>
        <w:pStyle w:val="ListParagraph"/>
        <w:numPr>
          <w:ilvl w:val="0"/>
          <w:numId w:val="3"/>
        </w:numPr>
      </w:pPr>
      <w:r>
        <w:rPr>
          <w:rFonts w:ascii="Arial" w:cs="Arial" w:eastAsia="Arial" w:hAnsi="Arial"/>
          <w:color w:val="404040"/>
          <w:sz w:val="22"/>
          <w:szCs w:val="22"/>
        </w:rPr>
        <w:t xml:space="preserve">Les mesures de sécurité (chiffrement, controle d'accès) ont-elles été implementees?</w:t>
      </w:r>
    </w:p>
    <w:p>
      <w:pPr>
        <w:pStyle w:val="ListParagraph"/>
        <w:numPr>
          <w:ilvl w:val="0"/>
          <w:numId w:val="3"/>
        </w:numPr>
      </w:pPr>
      <w:r>
        <w:rPr>
          <w:rFonts w:ascii="Arial" w:cs="Arial" w:eastAsia="Arial" w:hAnsi="Arial"/>
          <w:color w:val="404040"/>
          <w:sz w:val="22"/>
          <w:szCs w:val="22"/>
        </w:rPr>
        <w:t xml:space="preserve">Un mécanisme permettant aux personnes de demander l'accès a leurs données est-il en place?</w:t>
      </w:r>
    </w:p>
    <w:p>
      <w:pPr>
        <w:pStyle w:val="ListParagraph"/>
        <w:numPr>
          <w:ilvl w:val="0"/>
          <w:numId w:val="3"/>
        </w:numPr>
      </w:pPr>
      <w:r>
        <w:rPr>
          <w:rFonts w:ascii="Arial" w:cs="Arial" w:eastAsia="Arial" w:hAnsi="Arial"/>
          <w:color w:val="404040"/>
          <w:sz w:val="22"/>
          <w:szCs w:val="22"/>
        </w:rPr>
        <w:t xml:space="preserve">Un mécanisme permettant aux personnes de demander la suppression de leurs données est-il en place?</w:t>
      </w:r>
    </w:p>
    <w:p>
      <w:pPr>
        <w:pStyle w:val="ListParagraph"/>
        <w:numPr>
          <w:ilvl w:val="0"/>
          <w:numId w:val="3"/>
        </w:numPr>
      </w:pPr>
      <w:r>
        <w:rPr>
          <w:rFonts w:ascii="Arial" w:cs="Arial" w:eastAsia="Arial" w:hAnsi="Arial"/>
          <w:color w:val="404040"/>
          <w:sz w:val="22"/>
          <w:szCs w:val="22"/>
        </w:rPr>
        <w:t xml:space="preserve">Si le système prend des décisions automatisees (Art. 12.1), un registre a-t-il été etabli?</w:t>
      </w:r>
    </w:p>
    <w:p>
      <w:pPr>
        <w:pStyle w:val="ListParagraph"/>
        <w:numPr>
          <w:ilvl w:val="0"/>
          <w:numId w:val="3"/>
        </w:numPr>
      </w:pPr>
      <w:r>
        <w:rPr>
          <w:rFonts w:ascii="Arial" w:cs="Arial" w:eastAsia="Arial" w:hAnsi="Arial"/>
          <w:color w:val="404040"/>
          <w:sz w:val="22"/>
          <w:szCs w:val="22"/>
        </w:rPr>
        <w:t xml:space="preserve">Un mécanisme de recours manuel pour les décisions automatisees est-il disponible?</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conformité (Loi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 l'application de la Loi 25, gère les demandes d'accès/suppression, coordonne les notifications d'incidents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technique du système d'IA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Implementent les mesures de sécurité et le registre des traitements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1 - Inventaire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Identifier tous les systèmes d'IA qui traitent des données personnelles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2 - Audit de conformité</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Evaluer la conformité actuelle pour chaque système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3 - Plan de remédiation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Documenter les écarts et les actions correctives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4 - Implementation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les mesures de conformité</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5 -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Verifier que tous les systèmes sont maintenant conformes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Traitement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Toute operation effectuée sur des renseignements personnels (collecte, utilisation, divulgation, stockage, destruction)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 explicite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clair et sans ambiguite donne par la personne pour un traitement specifique de ses données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de conformité Loi 25 et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2026-03-05T02:24:49.629Z</dcterms:created>
  <dcterms:modified xsi:type="dcterms:W3CDTF">2026-03-05T02:24:49.629Z</dcterms:modified>
</cp:coreProperties>
</file>

<file path=docProps/custom.xml><?xml version="1.0" encoding="utf-8"?>
<Properties xmlns="http://schemas.openxmlformats.org/officeDocument/2006/custom-properties" xmlns:vt="http://schemas.openxmlformats.org/officeDocument/2006/docPropsVTypes"/>
</file>