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Politique de conformité RGPD et IA</w:t>
      </w:r>
    </w:p>
    <w:p>
      <w:pPr>
        <w:spacing w:after="600"/>
        <w:jc w:val="center"/>
      </w:pPr>
      <w:r>
        <w:rPr>
          <w:rFonts w:ascii="Arial" w:cs="Arial" w:eastAsia="Arial" w:hAnsi="Arial"/>
          <w:color w:val="2E75B6"/>
          <w:sz w:val="24"/>
          <w:szCs w:val="24"/>
        </w:rPr>
        <w:t xml:space="preserve">exigences du RGPD et du Règlement européen sur l'IA pour les systèmes d'intelligence artificielle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Règlement (UE) 2016/679 - RGPD</w:t>
      </w:r>
    </w:p>
    <w:p>
      <w:pPr>
        <w:pStyle w:val="ListParagraph"/>
        <w:numPr>
          <w:ilvl w:val="0"/>
          <w:numId w:val="2"/>
        </w:numPr>
      </w:pPr>
      <w:r>
        <w:rPr>
          <w:rFonts w:ascii="Arial" w:cs="Arial" w:eastAsia="Arial" w:hAnsi="Arial"/>
          <w:color w:val="404040"/>
          <w:sz w:val="22"/>
          <w:szCs w:val="22"/>
        </w:rPr>
        <w:t xml:space="preserve">Règlement (UE) 2024/1689 - EU AI Act</w:t>
      </w:r>
    </w:p>
    <w:p>
      <w:pPr>
        <w:pStyle w:val="ListParagraph"/>
        <w:numPr>
          <w:ilvl w:val="0"/>
          <w:numId w:val="2"/>
        </w:numPr>
      </w:pPr>
      <w:r>
        <w:rPr>
          <w:rFonts w:ascii="Arial" w:cs="Arial" w:eastAsia="Arial" w:hAnsi="Arial"/>
          <w:color w:val="404040"/>
          <w:sz w:val="22"/>
          <w:szCs w:val="22"/>
        </w:rPr>
        <w:t xml:space="preserve">Lignes directrices du groupe de travail Article 29 (CNIL, DPA europeennes)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Introduction</w:t>
      </w:r>
    </w:p>
    <w:p>
      <w:r>
        <w:rPr>
          <w:rFonts w:ascii="Arial" w:cs="Arial" w:eastAsia="Arial" w:hAnsi="Arial"/>
          <w:color w:val="404040"/>
          <w:sz w:val="22"/>
          <w:szCs w:val="22"/>
        </w:rPr>
        <w:t xml:space="preserve">Cette politique formalise l'engagement de [NOM_ORGANISATION] a respecter les exigences du Règlement général sur la protection des données (RGPD) et du Règlement européen sur l'intelligence artificielle (EU AI Act) dans l'utilisation de systèmes d'intelligence artificielle.</w:t>
      </w:r>
    </w:p>
    <w:p>
      <w:pPr>
        <w:pStyle w:val="Heading2"/>
      </w:pPr>
      <w:r>
        <w:t xml:space="preserve">Applicabilite</w:t>
      </w:r>
    </w:p>
    <w:p>
      <w:r>
        <w:rPr>
          <w:rFonts w:ascii="Arial" w:cs="Arial" w:eastAsia="Arial" w:hAnsi="Arial"/>
          <w:color w:val="404040"/>
          <w:sz w:val="22"/>
          <w:szCs w:val="22"/>
        </w:rPr>
        <w:t xml:space="preserve">Cette politique s'applique à [NOM_ORGANISATION] si :</w:t>
      </w:r>
    </w:p>
    <w:p>
      <w:pPr>
        <w:pStyle w:val="ListParagraph"/>
        <w:numPr>
          <w:ilvl w:val="0"/>
          <w:numId w:val="2"/>
        </w:numPr>
      </w:pPr>
      <w:r>
        <w:rPr>
          <w:rFonts w:ascii="Arial" w:cs="Arial" w:eastAsia="Arial" w:hAnsi="Arial"/>
          <w:color w:val="404040"/>
          <w:sz w:val="22"/>
          <w:szCs w:val="22"/>
        </w:rPr>
        <w:t xml:space="preserve">L'organisation a des clients, employéés, ou fournisseurs dans l'Union européenne dont les données personnelles sont traitees par des systèmes d'IA</w:t>
      </w:r>
    </w:p>
    <w:p>
      <w:pPr>
        <w:pStyle w:val="ListParagraph"/>
        <w:numPr>
          <w:ilvl w:val="0"/>
          <w:numId w:val="2"/>
        </w:numPr>
      </w:pPr>
      <w:r>
        <w:rPr>
          <w:rFonts w:ascii="Arial" w:cs="Arial" w:eastAsia="Arial" w:hAnsi="Arial"/>
          <w:color w:val="404040"/>
          <w:sz w:val="22"/>
          <w:szCs w:val="22"/>
        </w:rPr>
        <w:t xml:space="preserve">L'organisation offre des produits ou services destines a des résidents de l'UE</w:t>
      </w:r>
    </w:p>
    <w:p>
      <w:pPr>
        <w:pStyle w:val="ListParagraph"/>
        <w:numPr>
          <w:ilvl w:val="0"/>
          <w:numId w:val="2"/>
        </w:numPr>
      </w:pPr>
      <w:r>
        <w:rPr>
          <w:rFonts w:ascii="Arial" w:cs="Arial" w:eastAsia="Arial" w:hAnsi="Arial"/>
          <w:color w:val="404040"/>
          <w:sz w:val="22"/>
          <w:szCs w:val="22"/>
        </w:rPr>
        <w:t xml:space="preserve">L'organisation a etabli une presence physique dans l'UE</w:t>
      </w:r>
    </w:p>
    <w:p>
      <w:pPr>
        <w:pStyle w:val="Heading1"/>
      </w:pPr>
      <w:r>
        <w:t xml:space="preserve">Article 22 du RGPD : Decisions entièrement automatisees</w:t>
      </w:r>
    </w:p>
    <w:p>
      <w:pPr>
        <w:pStyle w:val="Heading2"/>
      </w:pPr>
      <w:r>
        <w:t xml:space="preserve">contexte juridique</w:t>
      </w:r>
    </w:p>
    <w:p>
      <w:r>
        <w:rPr>
          <w:rFonts w:ascii="Arial" w:cs="Arial" w:eastAsia="Arial" w:hAnsi="Arial"/>
          <w:color w:val="404040"/>
          <w:sz w:val="22"/>
          <w:szCs w:val="22"/>
        </w:rPr>
        <w:t xml:space="preserve">L'Article 22 du RGPD impose des restrictions sur les décisions rendues entièrement par des moyens automatises sans intervention humaine, si la décision produit des effets juridiques ou similaires significatifs pour la personne.</w:t>
      </w:r>
    </w:p>
    <w:p>
      <w:pPr>
        <w:pStyle w:val="Heading3"/>
      </w:pPr>
      <w:r>
        <w:t xml:space="preserve">Texte de l'article 22</w:t>
      </w:r>
    </w:p>
    <w:p>
      <w:r>
        <w:rPr>
          <w:rFonts w:ascii="Arial" w:cs="Arial" w:eastAsia="Arial" w:hAnsi="Arial"/>
          <w:color w:val="404040"/>
          <w:sz w:val="22"/>
          <w:szCs w:val="22"/>
        </w:rPr>
        <w:t xml:space="preserve">La personne a le droit de ne pas être soumise a une décision fondée exclusivement sur un traitement automatise, y compris l'etablissement de profils, produisant des effets juridiques a son egard ou l'affectant de manière significative de la même facon.</w:t>
      </w:r>
    </w:p>
    <w:p>
      <w:pPr>
        <w:pStyle w:val="Heading2"/>
      </w:pPr>
      <w:r>
        <w:t xml:space="preserve">Interpretation pour les systèmes d'IA</w:t>
      </w:r>
    </w:p>
    <w:p>
      <w:r>
        <w:rPr>
          <w:rFonts w:ascii="Arial" w:cs="Arial" w:eastAsia="Arial" w:hAnsi="Arial"/>
          <w:color w:val="404040"/>
          <w:sz w:val="22"/>
          <w:szCs w:val="22"/>
        </w:rPr>
        <w:t xml:space="preserve">L'Article 22 s'applique àux systèmes d'IA qui :</w:t>
      </w:r>
    </w:p>
    <w:p>
      <w:pPr>
        <w:pStyle w:val="ListParagraph"/>
        <w:numPr>
          <w:ilvl w:val="0"/>
          <w:numId w:val="2"/>
        </w:numPr>
      </w:pPr>
      <w:r>
        <w:rPr>
          <w:rFonts w:ascii="Arial" w:cs="Arial" w:eastAsia="Arial" w:hAnsi="Arial"/>
          <w:color w:val="404040"/>
          <w:sz w:val="22"/>
          <w:szCs w:val="22"/>
        </w:rPr>
        <w:t xml:space="preserve">Prennent une décision sans intervention humaine significative</w:t>
      </w:r>
    </w:p>
    <w:p>
      <w:pPr>
        <w:pStyle w:val="ListParagraph"/>
        <w:numPr>
          <w:ilvl w:val="0"/>
          <w:numId w:val="2"/>
        </w:numPr>
      </w:pPr>
      <w:r>
        <w:rPr>
          <w:rFonts w:ascii="Arial" w:cs="Arial" w:eastAsia="Arial" w:hAnsi="Arial"/>
          <w:color w:val="404040"/>
          <w:sz w:val="22"/>
          <w:szCs w:val="22"/>
        </w:rPr>
        <w:t xml:space="preserve">La décision affecte les droits ou intérêts legaux de la personne (accords de crédit, emploi, assurance, etc.)</w:t>
      </w:r>
    </w:p>
    <w:p>
      <w:pPr>
        <w:pStyle w:val="ListParagraph"/>
        <w:numPr>
          <w:ilvl w:val="0"/>
          <w:numId w:val="2"/>
        </w:numPr>
      </w:pPr>
      <w:r>
        <w:rPr>
          <w:rFonts w:ascii="Arial" w:cs="Arial" w:eastAsia="Arial" w:hAnsi="Arial"/>
          <w:color w:val="404040"/>
          <w:sz w:val="22"/>
          <w:szCs w:val="22"/>
        </w:rPr>
        <w:t xml:space="preserve">OU affecte la personne d'une manière similaire (tarification, contenu personalise, recommandations qui limitent les choix)</w:t>
      </w:r>
    </w:p>
    <w:p>
      <w:r>
        <w:rPr>
          <w:rFonts w:ascii="Arial" w:cs="Arial" w:eastAsia="Arial" w:hAnsi="Arial"/>
          <w:color w:val="404040"/>
          <w:sz w:val="22"/>
          <w:szCs w:val="22"/>
        </w:rPr>
        <w:t xml:space="preserve">systèmes d'IA qui ne sont PAS couverts par l'Article 22 :</w:t>
      </w:r>
    </w:p>
    <w:p>
      <w:pPr>
        <w:pStyle w:val="ListParagraph"/>
        <w:numPr>
          <w:ilvl w:val="0"/>
          <w:numId w:val="2"/>
        </w:numPr>
      </w:pPr>
      <w:r>
        <w:rPr>
          <w:rFonts w:ascii="Arial" w:cs="Arial" w:eastAsia="Arial" w:hAnsi="Arial"/>
          <w:color w:val="404040"/>
          <w:sz w:val="22"/>
          <w:szCs w:val="22"/>
        </w:rPr>
        <w:t xml:space="preserve">Recommandations ou suggestions (qui ne sont pas imposees a la personne)</w:t>
      </w:r>
    </w:p>
    <w:p>
      <w:pPr>
        <w:pStyle w:val="ListParagraph"/>
        <w:numPr>
          <w:ilvl w:val="0"/>
          <w:numId w:val="2"/>
        </w:numPr>
      </w:pPr>
      <w:r>
        <w:rPr>
          <w:rFonts w:ascii="Arial" w:cs="Arial" w:eastAsia="Arial" w:hAnsi="Arial"/>
          <w:color w:val="404040"/>
          <w:sz w:val="22"/>
          <w:szCs w:val="22"/>
        </w:rPr>
        <w:t xml:space="preserve">systèmes d'IA qui assistent dans la prise de décision (décision finale prise par un humain)</w:t>
      </w:r>
    </w:p>
    <w:p>
      <w:pPr>
        <w:pStyle w:val="ListParagraph"/>
        <w:numPr>
          <w:ilvl w:val="0"/>
          <w:numId w:val="2"/>
        </w:numPr>
      </w:pPr>
      <w:r>
        <w:rPr>
          <w:rFonts w:ascii="Arial" w:cs="Arial" w:eastAsia="Arial" w:hAnsi="Arial"/>
          <w:color w:val="404040"/>
          <w:sz w:val="22"/>
          <w:szCs w:val="22"/>
        </w:rPr>
        <w:t xml:space="preserve">Classifications ou analyses qui ne produisent pas d'effets directs sur la personne</w:t>
      </w:r>
    </w:p>
    <w:p>
      <w:pPr>
        <w:pStyle w:val="Heading2"/>
      </w:pPr>
      <w:r>
        <w:t xml:space="preserve">Exceptions a l'interdiction</w:t>
      </w:r>
    </w:p>
    <w:p>
      <w:r>
        <w:rPr>
          <w:rFonts w:ascii="Arial" w:cs="Arial" w:eastAsia="Arial" w:hAnsi="Arial"/>
          <w:color w:val="404040"/>
          <w:sz w:val="22"/>
          <w:szCs w:val="22"/>
        </w:rPr>
        <w:t xml:space="preserve">Les décisions entièrement automatisees sont permises SEULEMENT si :</w:t>
      </w:r>
    </w:p>
    <w:p>
      <w:pPr>
        <w:pStyle w:val="ListParagraph"/>
        <w:numPr>
          <w:ilvl w:val="0"/>
          <w:numId w:val="2"/>
        </w:numPr>
      </w:pPr>
      <w:r>
        <w:rPr>
          <w:rFonts w:ascii="Arial" w:cs="Arial" w:eastAsia="Arial" w:hAnsi="Arial"/>
          <w:color w:val="404040"/>
          <w:sz w:val="22"/>
          <w:szCs w:val="22"/>
        </w:rPr>
        <w:t xml:space="preserve">La personne a donne son consentement explicite et eclaire</w:t>
      </w:r>
    </w:p>
    <w:p>
      <w:pPr>
        <w:pStyle w:val="ListParagraph"/>
        <w:numPr>
          <w:ilvl w:val="0"/>
          <w:numId w:val="2"/>
        </w:numPr>
      </w:pPr>
      <w:r>
        <w:rPr>
          <w:rFonts w:ascii="Arial" w:cs="Arial" w:eastAsia="Arial" w:hAnsi="Arial"/>
          <w:color w:val="404040"/>
          <w:sz w:val="22"/>
          <w:szCs w:val="22"/>
        </w:rPr>
        <w:t xml:space="preserve">La décision est nécessaire pour conclure ou executer un contrat entre la personne et l'organisation</w:t>
      </w:r>
    </w:p>
    <w:p>
      <w:pPr>
        <w:pStyle w:val="ListParagraph"/>
        <w:numPr>
          <w:ilvl w:val="0"/>
          <w:numId w:val="2"/>
        </w:numPr>
      </w:pPr>
      <w:r>
        <w:rPr>
          <w:rFonts w:ascii="Arial" w:cs="Arial" w:eastAsia="Arial" w:hAnsi="Arial"/>
          <w:color w:val="404040"/>
          <w:sz w:val="22"/>
          <w:szCs w:val="22"/>
        </w:rPr>
        <w:t xml:space="preserve">La décision est autorisée par une loi de l'Union européenne ou de l'État membre</w:t>
      </w:r>
    </w:p>
    <w:p>
      <w:pPr>
        <w:pStyle w:val="Heading2"/>
      </w:pPr>
      <w:r>
        <w:t xml:space="preserve">Obligation de safeguards</w:t>
      </w:r>
    </w:p>
    <w:p>
      <w:r>
        <w:rPr>
          <w:rFonts w:ascii="Arial" w:cs="Arial" w:eastAsia="Arial" w:hAnsi="Arial"/>
          <w:color w:val="404040"/>
          <w:sz w:val="22"/>
          <w:szCs w:val="22"/>
        </w:rPr>
        <w:t xml:space="preserve">Lorsqu'une exception s'applique et qu'une décision entièrement automatisée est permise, [NOM_ORGANISATION] DOIT mettre en place des safeguards :</w:t>
      </w:r>
    </w:p>
    <w:p>
      <w:pPr>
        <w:pStyle w:val="ListParagraph"/>
        <w:numPr>
          <w:ilvl w:val="0"/>
          <w:numId w:val="2"/>
        </w:numPr>
      </w:pPr>
      <w:r>
        <w:rPr>
          <w:rFonts w:ascii="Arial" w:cs="Arial" w:eastAsia="Arial" w:hAnsi="Arial"/>
          <w:color w:val="404040"/>
          <w:sz w:val="22"/>
          <w:szCs w:val="22"/>
        </w:rPr>
        <w:t xml:space="preserve">Informer la personne de la décision et de sa baséé</w:t>
      </w:r>
    </w:p>
    <w:p>
      <w:pPr>
        <w:pStyle w:val="ListParagraph"/>
        <w:numPr>
          <w:ilvl w:val="0"/>
          <w:numId w:val="2"/>
        </w:numPr>
      </w:pPr>
      <w:r>
        <w:rPr>
          <w:rFonts w:ascii="Arial" w:cs="Arial" w:eastAsia="Arial" w:hAnsi="Arial"/>
          <w:color w:val="404040"/>
          <w:sz w:val="22"/>
          <w:szCs w:val="22"/>
        </w:rPr>
        <w:t xml:space="preserve">Permettre a la personne d'exprimer son point de vue</w:t>
      </w:r>
    </w:p>
    <w:p>
      <w:pPr>
        <w:pStyle w:val="ListParagraph"/>
        <w:numPr>
          <w:ilvl w:val="0"/>
          <w:numId w:val="2"/>
        </w:numPr>
      </w:pPr>
      <w:r>
        <w:rPr>
          <w:rFonts w:ascii="Arial" w:cs="Arial" w:eastAsia="Arial" w:hAnsi="Arial"/>
          <w:color w:val="404040"/>
          <w:sz w:val="22"/>
          <w:szCs w:val="22"/>
        </w:rPr>
        <w:t xml:space="preserve">Permettre a la personne de contester la décision</w:t>
      </w:r>
    </w:p>
    <w:p>
      <w:pPr>
        <w:pStyle w:val="ListParagraph"/>
        <w:numPr>
          <w:ilvl w:val="0"/>
          <w:numId w:val="2"/>
        </w:numPr>
      </w:pPr>
      <w:r>
        <w:rPr>
          <w:rFonts w:ascii="Arial" w:cs="Arial" w:eastAsia="Arial" w:hAnsi="Arial"/>
          <w:color w:val="404040"/>
          <w:sz w:val="22"/>
          <w:szCs w:val="22"/>
        </w:rPr>
        <w:t xml:space="preserve">Assurer une intervention humaine pour examiner la décision en cas de contestation</w:t>
      </w:r>
    </w:p>
    <w:p>
      <w:pPr>
        <w:pStyle w:val="Heading1"/>
      </w:pPr>
      <w:r>
        <w:t xml:space="preserve">DPIA (Data protection Impact Assessment) pour les systèmes d'IA</w:t>
      </w:r>
    </w:p>
    <w:p>
      <w:pPr>
        <w:pStyle w:val="Heading2"/>
      </w:pPr>
      <w:r>
        <w:t xml:space="preserve">Quand realiser une DPIA</w:t>
      </w:r>
    </w:p>
    <w:p>
      <w:r>
        <w:rPr>
          <w:rFonts w:ascii="Arial" w:cs="Arial" w:eastAsia="Arial" w:hAnsi="Arial"/>
          <w:color w:val="404040"/>
          <w:sz w:val="22"/>
          <w:szCs w:val="22"/>
        </w:rPr>
        <w:t xml:space="preserve">Une DPIA doit être realisee avant de deployer tout système d'IA qui :</w:t>
      </w:r>
    </w:p>
    <w:p>
      <w:pPr>
        <w:pStyle w:val="ListParagraph"/>
        <w:numPr>
          <w:ilvl w:val="0"/>
          <w:numId w:val="2"/>
        </w:numPr>
      </w:pPr>
      <w:r>
        <w:rPr>
          <w:rFonts w:ascii="Arial" w:cs="Arial" w:eastAsia="Arial" w:hAnsi="Arial"/>
          <w:color w:val="404040"/>
          <w:sz w:val="22"/>
          <w:szCs w:val="22"/>
        </w:rPr>
        <w:t xml:space="preserve">Utilise des données personnelles de résidents de l'UE</w:t>
      </w:r>
    </w:p>
    <w:p>
      <w:pPr>
        <w:pStyle w:val="ListParagraph"/>
        <w:numPr>
          <w:ilvl w:val="0"/>
          <w:numId w:val="2"/>
        </w:numPr>
      </w:pPr>
      <w:r>
        <w:rPr>
          <w:rFonts w:ascii="Arial" w:cs="Arial" w:eastAsia="Arial" w:hAnsi="Arial"/>
          <w:color w:val="404040"/>
          <w:sz w:val="22"/>
          <w:szCs w:val="22"/>
        </w:rPr>
        <w:t xml:space="preserve">Traite des catégories speciales de données (santé, origine, croyances, données genetiques)</w:t>
      </w:r>
    </w:p>
    <w:p>
      <w:pPr>
        <w:pStyle w:val="ListParagraph"/>
        <w:numPr>
          <w:ilvl w:val="0"/>
          <w:numId w:val="2"/>
        </w:numPr>
      </w:pPr>
      <w:r>
        <w:rPr>
          <w:rFonts w:ascii="Arial" w:cs="Arial" w:eastAsia="Arial" w:hAnsi="Arial"/>
          <w:color w:val="404040"/>
          <w:sz w:val="22"/>
          <w:szCs w:val="22"/>
        </w:rPr>
        <w:t xml:space="preserve">Realise un monitoring systematique a grande échelle</w:t>
      </w:r>
    </w:p>
    <w:p>
      <w:pPr>
        <w:pStyle w:val="ListParagraph"/>
        <w:numPr>
          <w:ilvl w:val="0"/>
          <w:numId w:val="2"/>
        </w:numPr>
      </w:pPr>
      <w:r>
        <w:rPr>
          <w:rFonts w:ascii="Arial" w:cs="Arial" w:eastAsia="Arial" w:hAnsi="Arial"/>
          <w:color w:val="404040"/>
          <w:sz w:val="22"/>
          <w:szCs w:val="22"/>
        </w:rPr>
        <w:t xml:space="preserve">Utilise une technologie nouvelle ou evolvant rapidement</w:t>
      </w:r>
    </w:p>
    <w:p>
      <w:pPr>
        <w:pStyle w:val="ListParagraph"/>
        <w:numPr>
          <w:ilvl w:val="0"/>
          <w:numId w:val="2"/>
        </w:numPr>
      </w:pPr>
      <w:r>
        <w:rPr>
          <w:rFonts w:ascii="Arial" w:cs="Arial" w:eastAsia="Arial" w:hAnsi="Arial"/>
          <w:color w:val="404040"/>
          <w:sz w:val="22"/>
          <w:szCs w:val="22"/>
        </w:rPr>
        <w:t xml:space="preserve">Realise un profilage ou un scoring qui pourrait affecter les personnes de manière negative</w:t>
      </w:r>
    </w:p>
    <w:p>
      <w:pPr>
        <w:pStyle w:val="Heading2"/>
      </w:pPr>
      <w:r>
        <w:t xml:space="preserve">Contenu d'une DPIA pour l'IA</w:t>
      </w:r>
    </w:p>
    <w:p>
      <w:r>
        <w:rPr>
          <w:rFonts w:ascii="Arial" w:cs="Arial" w:eastAsia="Arial" w:hAnsi="Arial"/>
          <w:color w:val="404040"/>
          <w:sz w:val="22"/>
          <w:szCs w:val="22"/>
        </w:rPr>
        <w:t xml:space="preserve">Une DPIA effective pour un système d'IA doit documenter :</w:t>
      </w:r>
    </w:p>
    <w:p>
      <w:pPr>
        <w:pStyle w:val="ListParagraph"/>
        <w:numPr>
          <w:ilvl w:val="0"/>
          <w:numId w:val="3"/>
        </w:numPr>
      </w:pPr>
      <w:r>
        <w:rPr>
          <w:rFonts w:ascii="Arial" w:cs="Arial" w:eastAsia="Arial" w:hAnsi="Arial"/>
          <w:color w:val="404040"/>
          <w:sz w:val="22"/>
          <w:szCs w:val="22"/>
        </w:rPr>
        <w:t xml:space="preserve">Description du système d'IA, de son contexte et de ses finalites</w:t>
      </w:r>
    </w:p>
    <w:p>
      <w:pPr>
        <w:pStyle w:val="ListParagraph"/>
        <w:numPr>
          <w:ilvl w:val="0"/>
          <w:numId w:val="3"/>
        </w:numPr>
      </w:pPr>
      <w:r>
        <w:rPr>
          <w:rFonts w:ascii="Arial" w:cs="Arial" w:eastAsia="Arial" w:hAnsi="Arial"/>
          <w:color w:val="404040"/>
          <w:sz w:val="22"/>
          <w:szCs w:val="22"/>
        </w:rPr>
        <w:t xml:space="preserve">catégories de données personnelles traitees</w:t>
      </w:r>
    </w:p>
    <w:p>
      <w:pPr>
        <w:pStyle w:val="ListParagraph"/>
        <w:numPr>
          <w:ilvl w:val="0"/>
          <w:numId w:val="3"/>
        </w:numPr>
      </w:pPr>
      <w:r>
        <w:rPr>
          <w:rFonts w:ascii="Arial" w:cs="Arial" w:eastAsia="Arial" w:hAnsi="Arial"/>
          <w:color w:val="404040"/>
          <w:sz w:val="22"/>
          <w:szCs w:val="22"/>
        </w:rPr>
        <w:t xml:space="preserve">Justification de la necessite et de la proportionnalite du traitement</w:t>
      </w:r>
    </w:p>
    <w:p>
      <w:pPr>
        <w:pStyle w:val="ListParagraph"/>
        <w:numPr>
          <w:ilvl w:val="0"/>
          <w:numId w:val="3"/>
        </w:numPr>
      </w:pPr>
      <w:r>
        <w:rPr>
          <w:rFonts w:ascii="Arial" w:cs="Arial" w:eastAsia="Arial" w:hAnsi="Arial"/>
          <w:color w:val="404040"/>
          <w:sz w:val="22"/>
          <w:szCs w:val="22"/>
        </w:rPr>
        <w:t xml:space="preserve">Identification des risques pour les droits et libertes des personnes</w:t>
      </w:r>
    </w:p>
    <w:p>
      <w:pPr>
        <w:pStyle w:val="ListParagraph"/>
        <w:numPr>
          <w:ilvl w:val="0"/>
          <w:numId w:val="3"/>
        </w:numPr>
      </w:pPr>
      <w:r>
        <w:rPr>
          <w:rFonts w:ascii="Arial" w:cs="Arial" w:eastAsia="Arial" w:hAnsi="Arial"/>
          <w:color w:val="404040"/>
          <w:sz w:val="22"/>
          <w:szCs w:val="22"/>
        </w:rPr>
        <w:t xml:space="preserve">évaluation des impacts potentiels (biais, discrimination, profiling non consenti)</w:t>
      </w:r>
    </w:p>
    <w:p>
      <w:pPr>
        <w:pStyle w:val="ListParagraph"/>
        <w:numPr>
          <w:ilvl w:val="0"/>
          <w:numId w:val="3"/>
        </w:numPr>
      </w:pPr>
      <w:r>
        <w:rPr>
          <w:rFonts w:ascii="Arial" w:cs="Arial" w:eastAsia="Arial" w:hAnsi="Arial"/>
          <w:color w:val="404040"/>
          <w:sz w:val="22"/>
          <w:szCs w:val="22"/>
        </w:rPr>
        <w:t xml:space="preserve">mesures techniques et organisationnelles pour attenuer les risques (debiasing, monitoring, audit)</w:t>
      </w:r>
    </w:p>
    <w:p>
      <w:pPr>
        <w:pStyle w:val="ListParagraph"/>
        <w:numPr>
          <w:ilvl w:val="0"/>
          <w:numId w:val="3"/>
        </w:numPr>
      </w:pPr>
      <w:r>
        <w:rPr>
          <w:rFonts w:ascii="Arial" w:cs="Arial" w:eastAsia="Arial" w:hAnsi="Arial"/>
          <w:color w:val="404040"/>
          <w:sz w:val="22"/>
          <w:szCs w:val="22"/>
        </w:rPr>
        <w:t xml:space="preserve">évaluation de la conformité avec l'Article 22 (si applicable)</w:t>
      </w:r>
    </w:p>
    <w:p>
      <w:pPr>
        <w:pStyle w:val="ListParagraph"/>
        <w:numPr>
          <w:ilvl w:val="0"/>
          <w:numId w:val="3"/>
        </w:numPr>
      </w:pPr>
      <w:r>
        <w:rPr>
          <w:rFonts w:ascii="Arial" w:cs="Arial" w:eastAsia="Arial" w:hAnsi="Arial"/>
          <w:color w:val="404040"/>
          <w:sz w:val="22"/>
          <w:szCs w:val="22"/>
        </w:rPr>
        <w:t xml:space="preserve">Consultation des parties prenantes (si risques eleves)</w:t>
      </w:r>
    </w:p>
    <w:p>
      <w:pPr>
        <w:pStyle w:val="ListParagraph"/>
        <w:numPr>
          <w:ilvl w:val="0"/>
          <w:numId w:val="3"/>
        </w:numPr>
      </w:pPr>
      <w:r>
        <w:rPr>
          <w:rFonts w:ascii="Arial" w:cs="Arial" w:eastAsia="Arial" w:hAnsi="Arial"/>
          <w:color w:val="404040"/>
          <w:sz w:val="22"/>
          <w:szCs w:val="22"/>
        </w:rPr>
        <w:t xml:space="preserve">Avis d'une autorite de protection des données (si risques tres eleves)</w:t>
      </w:r>
    </w:p>
    <w:p>
      <w:pPr>
        <w:pStyle w:val="Heading1"/>
      </w:pPr>
      <w:r>
        <w:t xml:space="preserve">Transferts internationaux de données</w:t>
      </w:r>
    </w:p>
    <w:p>
      <w:pPr>
        <w:pStyle w:val="Heading2"/>
      </w:pPr>
      <w:r>
        <w:t xml:space="preserve">contexte</w:t>
      </w:r>
    </w:p>
    <w:p>
      <w:r>
        <w:rPr>
          <w:rFonts w:ascii="Arial" w:cs="Arial" w:eastAsia="Arial" w:hAnsi="Arial"/>
          <w:color w:val="404040"/>
          <w:sz w:val="22"/>
          <w:szCs w:val="22"/>
        </w:rPr>
        <w:t xml:space="preserve">Si [NOM_ORGANISATION] transfère des données personnelles de résidents de l'UE en dehors de l'espace economique europeen (EEE) pour les traiter par un système d'IA, le transfert doit être legal sous le RGPD.</w:t>
      </w:r>
    </w:p>
    <w:p>
      <w:pPr>
        <w:pStyle w:val="Heading2"/>
      </w:pPr>
      <w:r>
        <w:t xml:space="preserve">mécanismes de transfert autorisés</w:t>
      </w:r>
    </w:p>
    <w:p>
      <w:r>
        <w:rPr>
          <w:rFonts w:ascii="Arial" w:cs="Arial" w:eastAsia="Arial" w:hAnsi="Arial"/>
          <w:color w:val="404040"/>
          <w:sz w:val="22"/>
          <w:szCs w:val="22"/>
        </w:rPr>
        <w:t xml:space="preserve">Les transferts internationaux autorisés incluent :</w:t>
      </w:r>
    </w:p>
    <w:p>
      <w:pPr>
        <w:pStyle w:val="ListParagraph"/>
        <w:numPr>
          <w:ilvl w:val="0"/>
          <w:numId w:val="2"/>
        </w:numPr>
      </w:pPr>
      <w:r>
        <w:rPr>
          <w:rFonts w:ascii="Arial" w:cs="Arial" w:eastAsia="Arial" w:hAnsi="Arial"/>
          <w:color w:val="404040"/>
          <w:sz w:val="22"/>
          <w:szCs w:val="22"/>
        </w:rPr>
        <w:t xml:space="preserve">décision d'adequation : l'UE a reconnaitre que le pays a un niveau de protection adequat</w:t>
      </w:r>
    </w:p>
    <w:p>
      <w:pPr>
        <w:pStyle w:val="ListParagraph"/>
        <w:numPr>
          <w:ilvl w:val="0"/>
          <w:numId w:val="2"/>
        </w:numPr>
      </w:pPr>
      <w:r>
        <w:rPr>
          <w:rFonts w:ascii="Arial" w:cs="Arial" w:eastAsia="Arial" w:hAnsi="Arial"/>
          <w:color w:val="404040"/>
          <w:sz w:val="22"/>
          <w:szCs w:val="22"/>
        </w:rPr>
        <w:t xml:space="preserve">Clauses contractuelles types (SCT) : contrat approuve par la Commission européenne garantissant la protection</w:t>
      </w:r>
    </w:p>
    <w:p>
      <w:pPr>
        <w:pStyle w:val="ListParagraph"/>
        <w:numPr>
          <w:ilvl w:val="0"/>
          <w:numId w:val="2"/>
        </w:numPr>
      </w:pPr>
      <w:r>
        <w:rPr>
          <w:rFonts w:ascii="Arial" w:cs="Arial" w:eastAsia="Arial" w:hAnsi="Arial"/>
          <w:color w:val="404040"/>
          <w:sz w:val="22"/>
          <w:szCs w:val="22"/>
        </w:rPr>
        <w:t xml:space="preserve">consentement explicite de la personne au transfert</w:t>
      </w:r>
    </w:p>
    <w:p>
      <w:pPr>
        <w:pStyle w:val="ListParagraph"/>
        <w:numPr>
          <w:ilvl w:val="0"/>
          <w:numId w:val="2"/>
        </w:numPr>
      </w:pPr>
      <w:r>
        <w:rPr>
          <w:rFonts w:ascii="Arial" w:cs="Arial" w:eastAsia="Arial" w:hAnsi="Arial"/>
          <w:color w:val="404040"/>
          <w:sz w:val="22"/>
          <w:szCs w:val="22"/>
        </w:rPr>
        <w:t xml:space="preserve">Derogations pour cas specifiques (contrat, interet vital, tache d'interet public)</w:t>
      </w:r>
    </w:p>
    <w:p>
      <w:pPr>
        <w:pStyle w:val="Heading2"/>
      </w:pPr>
      <w:r>
        <w:t xml:space="preserve">Impact pour les systèmes d'IA cloud</w:t>
      </w:r>
    </w:p>
    <w:p>
      <w:r>
        <w:rPr>
          <w:rFonts w:ascii="Arial" w:cs="Arial" w:eastAsia="Arial" w:hAnsi="Arial"/>
          <w:color w:val="404040"/>
          <w:sz w:val="22"/>
          <w:szCs w:val="22"/>
        </w:rPr>
        <w:t xml:space="preserve">Si [NOM_ORGANISATION] utilisé un service d'IA cloud heberge en dehors de l'EEE (ex: serveurs aux USA), un accord de transfert doit être en place. Cela s'applique à :</w:t>
      </w:r>
    </w:p>
    <w:p>
      <w:pPr>
        <w:pStyle w:val="ListParagraph"/>
        <w:numPr>
          <w:ilvl w:val="0"/>
          <w:numId w:val="2"/>
        </w:numPr>
      </w:pPr>
      <w:r>
        <w:rPr>
          <w:rFonts w:ascii="Arial" w:cs="Arial" w:eastAsia="Arial" w:hAnsi="Arial"/>
          <w:color w:val="404040"/>
          <w:sz w:val="22"/>
          <w:szCs w:val="22"/>
        </w:rPr>
        <w:t xml:space="preserve">services d'IA générative (ChatGPT, Claude, etc.)</w:t>
      </w:r>
    </w:p>
    <w:p>
      <w:pPr>
        <w:pStyle w:val="ListParagraph"/>
        <w:numPr>
          <w:ilvl w:val="0"/>
          <w:numId w:val="2"/>
        </w:numPr>
      </w:pPr>
      <w:r>
        <w:rPr>
          <w:rFonts w:ascii="Arial" w:cs="Arial" w:eastAsia="Arial" w:hAnsi="Arial"/>
          <w:color w:val="404040"/>
          <w:sz w:val="22"/>
          <w:szCs w:val="22"/>
        </w:rPr>
        <w:t xml:space="preserve">Plateformes d'IA cloud commerciales</w:t>
      </w:r>
    </w:p>
    <w:p>
      <w:pPr>
        <w:pStyle w:val="ListParagraph"/>
        <w:numPr>
          <w:ilvl w:val="0"/>
          <w:numId w:val="2"/>
        </w:numPr>
      </w:pPr>
      <w:r>
        <w:rPr>
          <w:rFonts w:ascii="Arial" w:cs="Arial" w:eastAsia="Arial" w:hAnsi="Arial"/>
          <w:color w:val="404040"/>
          <w:sz w:val="22"/>
          <w:szCs w:val="22"/>
        </w:rPr>
        <w:t xml:space="preserve">systèmes heberges en dehors de l'EEE</w:t>
      </w:r>
    </w:p>
    <w:p>
      <w:pPr>
        <w:pStyle w:val="Heading1"/>
      </w:pPr>
      <w:r>
        <w:t xml:space="preserve">droits des personnes et exigences de transparence</w:t>
      </w:r>
    </w:p>
    <w:p>
      <w:pPr>
        <w:pStyle w:val="Heading2"/>
      </w:pPr>
      <w:r>
        <w:t xml:space="preserve">Article 13 - Information lors de la collecte</w:t>
      </w:r>
    </w:p>
    <w:p>
      <w:r>
        <w:rPr>
          <w:rFonts w:ascii="Arial" w:cs="Arial" w:eastAsia="Arial" w:hAnsi="Arial"/>
          <w:color w:val="404040"/>
          <w:sz w:val="22"/>
          <w:szCs w:val="22"/>
        </w:rPr>
        <w:t xml:space="preserve">Lorsque [NOM_ORGANISATION] collecte des données personnelles d'une personne dans l'UE pour un système d'IA, elle doit informer la personne de :</w:t>
      </w:r>
    </w:p>
    <w:p>
      <w:pPr>
        <w:pStyle w:val="ListParagraph"/>
        <w:numPr>
          <w:ilvl w:val="0"/>
          <w:numId w:val="2"/>
        </w:numPr>
      </w:pPr>
      <w:r>
        <w:rPr>
          <w:rFonts w:ascii="Arial" w:cs="Arial" w:eastAsia="Arial" w:hAnsi="Arial"/>
          <w:color w:val="404040"/>
          <w:sz w:val="22"/>
          <w:szCs w:val="22"/>
        </w:rPr>
        <w:t xml:space="preserve">L'identité de l'organisation et de son representant</w:t>
      </w:r>
    </w:p>
    <w:p>
      <w:pPr>
        <w:pStyle w:val="ListParagraph"/>
        <w:numPr>
          <w:ilvl w:val="0"/>
          <w:numId w:val="2"/>
        </w:numPr>
      </w:pPr>
      <w:r>
        <w:rPr>
          <w:rFonts w:ascii="Arial" w:cs="Arial" w:eastAsia="Arial" w:hAnsi="Arial"/>
          <w:color w:val="404040"/>
          <w:sz w:val="22"/>
          <w:szCs w:val="22"/>
        </w:rPr>
        <w:t xml:space="preserve">Les finalites du traitement et la baséé legale</w:t>
      </w:r>
    </w:p>
    <w:p>
      <w:pPr>
        <w:pStyle w:val="ListParagraph"/>
        <w:numPr>
          <w:ilvl w:val="0"/>
          <w:numId w:val="2"/>
        </w:numPr>
      </w:pPr>
      <w:r>
        <w:rPr>
          <w:rFonts w:ascii="Arial" w:cs="Arial" w:eastAsia="Arial" w:hAnsi="Arial"/>
          <w:color w:val="404040"/>
          <w:sz w:val="22"/>
          <w:szCs w:val="22"/>
        </w:rPr>
        <w:t xml:space="preserve">Les destinataires des données</w:t>
      </w:r>
    </w:p>
    <w:p>
      <w:pPr>
        <w:pStyle w:val="ListParagraph"/>
        <w:numPr>
          <w:ilvl w:val="0"/>
          <w:numId w:val="2"/>
        </w:numPr>
      </w:pPr>
      <w:r>
        <w:rPr>
          <w:rFonts w:ascii="Arial" w:cs="Arial" w:eastAsia="Arial" w:hAnsi="Arial"/>
          <w:color w:val="404040"/>
          <w:sz w:val="22"/>
          <w:szCs w:val="22"/>
        </w:rPr>
        <w:t xml:space="preserve">La periode de conservation des données</w:t>
      </w:r>
    </w:p>
    <w:p>
      <w:pPr>
        <w:pStyle w:val="ListParagraph"/>
        <w:numPr>
          <w:ilvl w:val="0"/>
          <w:numId w:val="2"/>
        </w:numPr>
      </w:pPr>
      <w:r>
        <w:rPr>
          <w:rFonts w:ascii="Arial" w:cs="Arial" w:eastAsia="Arial" w:hAnsi="Arial"/>
          <w:color w:val="404040"/>
          <w:sz w:val="22"/>
          <w:szCs w:val="22"/>
        </w:rPr>
        <w:t xml:space="preserve">Les droits de la personne (accès, rectification, suppression, opposition)</w:t>
      </w:r>
    </w:p>
    <w:p>
      <w:pPr>
        <w:pStyle w:val="ListParagraph"/>
        <w:numPr>
          <w:ilvl w:val="0"/>
          <w:numId w:val="2"/>
        </w:numPr>
      </w:pPr>
      <w:r>
        <w:rPr>
          <w:rFonts w:ascii="Arial" w:cs="Arial" w:eastAsia="Arial" w:hAnsi="Arial"/>
          <w:color w:val="404040"/>
          <w:sz w:val="22"/>
          <w:szCs w:val="22"/>
        </w:rPr>
        <w:t xml:space="preserve">Le droit de retirer le consentement</w:t>
      </w:r>
    </w:p>
    <w:p>
      <w:pPr>
        <w:pStyle w:val="ListParagraph"/>
        <w:numPr>
          <w:ilvl w:val="0"/>
          <w:numId w:val="2"/>
        </w:numPr>
      </w:pPr>
      <w:r>
        <w:rPr>
          <w:rFonts w:ascii="Arial" w:cs="Arial" w:eastAsia="Arial" w:hAnsi="Arial"/>
          <w:color w:val="404040"/>
          <w:sz w:val="22"/>
          <w:szCs w:val="22"/>
        </w:rPr>
        <w:t xml:space="preserve">Le droit de recourse auprès de l'autorite de protection des données</w:t>
      </w:r>
    </w:p>
    <w:p>
      <w:pPr>
        <w:pStyle w:val="ListParagraph"/>
        <w:numPr>
          <w:ilvl w:val="0"/>
          <w:numId w:val="2"/>
        </w:numPr>
      </w:pPr>
      <w:r>
        <w:rPr>
          <w:rFonts w:ascii="Arial" w:cs="Arial" w:eastAsia="Arial" w:hAnsi="Arial"/>
          <w:color w:val="404040"/>
          <w:sz w:val="22"/>
          <w:szCs w:val="22"/>
        </w:rPr>
        <w:t xml:space="preserve">Si applicable, le droit de ne pas être soumis a une décision entièrement automatisée</w:t>
      </w:r>
    </w:p>
    <w:p>
      <w:pPr>
        <w:pStyle w:val="Heading2"/>
      </w:pPr>
      <w:r>
        <w:t xml:space="preserve">Article 14 - Information hors collecte</w:t>
      </w:r>
    </w:p>
    <w:p>
      <w:r>
        <w:rPr>
          <w:rFonts w:ascii="Arial" w:cs="Arial" w:eastAsia="Arial" w:hAnsi="Arial"/>
          <w:color w:val="404040"/>
          <w:sz w:val="22"/>
          <w:szCs w:val="22"/>
        </w:rPr>
        <w:t xml:space="preserve">Si les données sont obtenues auprès de tiers (et non directement de la personne), [NOM_ORGANISATION] doit fournir les memes informations que l'Article 13, dans un delai raisonnable et au plus tard dans le mois suivant.</w:t>
      </w:r>
    </w:p>
    <w:p>
      <w:pPr>
        <w:pStyle w:val="Heading2"/>
      </w:pPr>
      <w:r>
        <w:t xml:space="preserve">Droit d'accès (Article 15)</w:t>
      </w:r>
    </w:p>
    <w:p>
      <w:r>
        <w:rPr>
          <w:rFonts w:ascii="Arial" w:cs="Arial" w:eastAsia="Arial" w:hAnsi="Arial"/>
          <w:color w:val="404040"/>
          <w:sz w:val="22"/>
          <w:szCs w:val="22"/>
        </w:rPr>
        <w:t xml:space="preserve">Les personnes ont le droit de demander l'accès a toutes leurs données personnelles traitees par [NOM_ORGANISATION], y compris :</w:t>
      </w:r>
    </w:p>
    <w:p>
      <w:pPr>
        <w:pStyle w:val="ListParagraph"/>
        <w:numPr>
          <w:ilvl w:val="0"/>
          <w:numId w:val="2"/>
        </w:numPr>
      </w:pPr>
      <w:r>
        <w:rPr>
          <w:rFonts w:ascii="Arial" w:cs="Arial" w:eastAsia="Arial" w:hAnsi="Arial"/>
          <w:color w:val="404040"/>
          <w:sz w:val="22"/>
          <w:szCs w:val="22"/>
        </w:rPr>
        <w:t xml:space="preserve">Les données utilisées pour entrainer le système d'IA</w:t>
      </w:r>
    </w:p>
    <w:p>
      <w:pPr>
        <w:pStyle w:val="ListParagraph"/>
        <w:numPr>
          <w:ilvl w:val="0"/>
          <w:numId w:val="2"/>
        </w:numPr>
      </w:pPr>
      <w:r>
        <w:rPr>
          <w:rFonts w:ascii="Arial" w:cs="Arial" w:eastAsia="Arial" w:hAnsi="Arial"/>
          <w:color w:val="404040"/>
          <w:sz w:val="22"/>
          <w:szCs w:val="22"/>
        </w:rPr>
        <w:t xml:space="preserve">Les profils ou scores generes par le système</w:t>
      </w:r>
    </w:p>
    <w:p>
      <w:pPr>
        <w:pStyle w:val="ListParagraph"/>
        <w:numPr>
          <w:ilvl w:val="0"/>
          <w:numId w:val="2"/>
        </w:numPr>
      </w:pPr>
      <w:r>
        <w:rPr>
          <w:rFonts w:ascii="Arial" w:cs="Arial" w:eastAsia="Arial" w:hAnsi="Arial"/>
          <w:color w:val="404040"/>
          <w:sz w:val="22"/>
          <w:szCs w:val="22"/>
        </w:rPr>
        <w:t xml:space="preserve">L'historique des décisions rendue par le système</w:t>
      </w:r>
    </w:p>
    <w:p>
      <w:pPr>
        <w:pStyle w:val="Heading2"/>
      </w:pPr>
      <w:r>
        <w:t xml:space="preserve">Droit de rectification (Article 16)</w:t>
      </w:r>
    </w:p>
    <w:p>
      <w:r>
        <w:rPr>
          <w:rFonts w:ascii="Arial" w:cs="Arial" w:eastAsia="Arial" w:hAnsi="Arial"/>
          <w:color w:val="404040"/>
          <w:sz w:val="22"/>
          <w:szCs w:val="22"/>
        </w:rPr>
        <w:t xml:space="preserve">Les personnes ont le droit de corriger les données inexactes ou incompletes utilisées par les systèmes d'IA. [NOM_ORGANISATION] doit :</w:t>
      </w:r>
    </w:p>
    <w:p>
      <w:pPr>
        <w:pStyle w:val="ListParagraph"/>
        <w:numPr>
          <w:ilvl w:val="0"/>
          <w:numId w:val="2"/>
        </w:numPr>
      </w:pPr>
      <w:r>
        <w:rPr>
          <w:rFonts w:ascii="Arial" w:cs="Arial" w:eastAsia="Arial" w:hAnsi="Arial"/>
          <w:color w:val="404040"/>
          <w:sz w:val="22"/>
          <w:szCs w:val="22"/>
        </w:rPr>
        <w:t xml:space="preserve">Verifier la precision des données</w:t>
      </w:r>
    </w:p>
    <w:p>
      <w:pPr>
        <w:pStyle w:val="ListParagraph"/>
        <w:numPr>
          <w:ilvl w:val="0"/>
          <w:numId w:val="2"/>
        </w:numPr>
      </w:pPr>
      <w:r>
        <w:rPr>
          <w:rFonts w:ascii="Arial" w:cs="Arial" w:eastAsia="Arial" w:hAnsi="Arial"/>
          <w:color w:val="404040"/>
          <w:sz w:val="22"/>
          <w:szCs w:val="22"/>
        </w:rPr>
        <w:t xml:space="preserve">Corriger sans delai</w:t>
      </w:r>
    </w:p>
    <w:p>
      <w:pPr>
        <w:pStyle w:val="ListParagraph"/>
        <w:numPr>
          <w:ilvl w:val="0"/>
          <w:numId w:val="2"/>
        </w:numPr>
      </w:pPr>
      <w:r>
        <w:rPr>
          <w:rFonts w:ascii="Arial" w:cs="Arial" w:eastAsia="Arial" w:hAnsi="Arial"/>
          <w:color w:val="404040"/>
          <w:sz w:val="22"/>
          <w:szCs w:val="22"/>
        </w:rPr>
        <w:t xml:space="preserve">Notifier les tiers qui ont recu les données inexactes</w:t>
      </w:r>
    </w:p>
    <w:p>
      <w:pPr>
        <w:pStyle w:val="ListParagraph"/>
        <w:numPr>
          <w:ilvl w:val="0"/>
          <w:numId w:val="2"/>
        </w:numPr>
      </w:pPr>
      <w:r>
        <w:rPr>
          <w:rFonts w:ascii="Arial" w:cs="Arial" w:eastAsia="Arial" w:hAnsi="Arial"/>
          <w:color w:val="404040"/>
          <w:sz w:val="22"/>
          <w:szCs w:val="22"/>
        </w:rPr>
        <w:t xml:space="preserve">Si applicable, retrainer le système d'IA pour corriger l'impact des données inexactes</w:t>
      </w:r>
    </w:p>
    <w:p>
      <w:pPr>
        <w:pStyle w:val="Heading2"/>
      </w:pPr>
      <w:r>
        <w:t xml:space="preserve">Droit a l'oubli (Article 17)</w:t>
      </w:r>
    </w:p>
    <w:p>
      <w:r>
        <w:rPr>
          <w:rFonts w:ascii="Arial" w:cs="Arial" w:eastAsia="Arial" w:hAnsi="Arial"/>
          <w:color w:val="404040"/>
          <w:sz w:val="22"/>
          <w:szCs w:val="22"/>
        </w:rPr>
        <w:t xml:space="preserve">Les personnes peuvent demander la suppression de leurs données, notamment :</w:t>
      </w:r>
    </w:p>
    <w:p>
      <w:pPr>
        <w:pStyle w:val="ListParagraph"/>
        <w:numPr>
          <w:ilvl w:val="0"/>
          <w:numId w:val="2"/>
        </w:numPr>
      </w:pPr>
      <w:r>
        <w:rPr>
          <w:rFonts w:ascii="Arial" w:cs="Arial" w:eastAsia="Arial" w:hAnsi="Arial"/>
          <w:color w:val="404040"/>
          <w:sz w:val="22"/>
          <w:szCs w:val="22"/>
        </w:rPr>
        <w:t xml:space="preserve">Si les données ne sont plus nécessaires au regard des finalites initiales</w:t>
      </w:r>
    </w:p>
    <w:p>
      <w:pPr>
        <w:pStyle w:val="ListParagraph"/>
        <w:numPr>
          <w:ilvl w:val="0"/>
          <w:numId w:val="2"/>
        </w:numPr>
      </w:pPr>
      <w:r>
        <w:rPr>
          <w:rFonts w:ascii="Arial" w:cs="Arial" w:eastAsia="Arial" w:hAnsi="Arial"/>
          <w:color w:val="404040"/>
          <w:sz w:val="22"/>
          <w:szCs w:val="22"/>
        </w:rPr>
        <w:t xml:space="preserve">Si le consentement a été retire</w:t>
      </w:r>
    </w:p>
    <w:p>
      <w:pPr>
        <w:pStyle w:val="ListParagraph"/>
        <w:numPr>
          <w:ilvl w:val="0"/>
          <w:numId w:val="2"/>
        </w:numPr>
      </w:pPr>
      <w:r>
        <w:rPr>
          <w:rFonts w:ascii="Arial" w:cs="Arial" w:eastAsia="Arial" w:hAnsi="Arial"/>
          <w:color w:val="404040"/>
          <w:sz w:val="22"/>
          <w:szCs w:val="22"/>
        </w:rPr>
        <w:t xml:space="preserve">Si la personne s'oppose au traitement</w:t>
      </w:r>
    </w:p>
    <w:p>
      <w:pPr>
        <w:pStyle w:val="ListParagraph"/>
        <w:numPr>
          <w:ilvl w:val="0"/>
          <w:numId w:val="2"/>
        </w:numPr>
      </w:pPr>
      <w:r>
        <w:rPr>
          <w:rFonts w:ascii="Arial" w:cs="Arial" w:eastAsia="Arial" w:hAnsi="Arial"/>
          <w:color w:val="404040"/>
          <w:sz w:val="22"/>
          <w:szCs w:val="22"/>
        </w:rPr>
        <w:t xml:space="preserve">Si le traitement est illegal</w:t>
      </w:r>
    </w:p>
    <w:p>
      <w:r>
        <w:rPr>
          <w:rFonts w:ascii="Arial" w:cs="Arial" w:eastAsia="Arial" w:hAnsi="Arial"/>
          <w:color w:val="404040"/>
          <w:sz w:val="22"/>
          <w:szCs w:val="22"/>
        </w:rPr>
        <w:t xml:space="preserve">Pour les systèmes d'IA, le droit à l'oubli peut être difficile a implement si les données ont été utilisées pour entrainer un modèle. Les solutions incluent :</w:t>
      </w:r>
    </w:p>
    <w:p>
      <w:pPr>
        <w:pStyle w:val="ListParagraph"/>
        <w:numPr>
          <w:ilvl w:val="0"/>
          <w:numId w:val="2"/>
        </w:numPr>
      </w:pPr>
      <w:r>
        <w:rPr>
          <w:rFonts w:ascii="Arial" w:cs="Arial" w:eastAsia="Arial" w:hAnsi="Arial"/>
          <w:color w:val="404040"/>
          <w:sz w:val="22"/>
          <w:szCs w:val="22"/>
        </w:rPr>
        <w:t xml:space="preserve">Retraining du modèle sans les données de la personne</w:t>
      </w:r>
    </w:p>
    <w:p>
      <w:pPr>
        <w:pStyle w:val="ListParagraph"/>
        <w:numPr>
          <w:ilvl w:val="0"/>
          <w:numId w:val="2"/>
        </w:numPr>
      </w:pPr>
      <w:r>
        <w:rPr>
          <w:rFonts w:ascii="Arial" w:cs="Arial" w:eastAsia="Arial" w:hAnsi="Arial"/>
          <w:color w:val="404040"/>
          <w:sz w:val="22"/>
          <w:szCs w:val="22"/>
        </w:rPr>
        <w:t xml:space="preserve">utilisation de techniques d'oubli non-entraînement (machine unlearning)</w:t>
      </w:r>
    </w:p>
    <w:p>
      <w:pPr>
        <w:pStyle w:val="ListParagraph"/>
        <w:numPr>
          <w:ilvl w:val="0"/>
          <w:numId w:val="2"/>
        </w:numPr>
      </w:pPr>
      <w:r>
        <w:rPr>
          <w:rFonts w:ascii="Arial" w:cs="Arial" w:eastAsia="Arial" w:hAnsi="Arial"/>
          <w:color w:val="404040"/>
          <w:sz w:val="22"/>
          <w:szCs w:val="22"/>
        </w:rPr>
        <w:t xml:space="preserve">Suppression des données a la source et exclusion du modèle a l'avenir</w:t>
      </w:r>
    </w:p>
    <w:p>
      <w:pPr>
        <w:pStyle w:val="Heading1"/>
      </w:pPr>
      <w:r>
        <w:t xml:space="preserve">conformité de [NOM_ORGANISATION] au RGPD pour l'IA</w:t>
      </w:r>
    </w:p>
    <w:p>
      <w:pPr>
        <w:pStyle w:val="Heading2"/>
      </w:pPr>
      <w:r>
        <w:t xml:space="preserve">Nomination d'un DPO</w:t>
      </w:r>
    </w:p>
    <w:p>
      <w:r>
        <w:rPr>
          <w:rFonts w:ascii="Arial" w:cs="Arial" w:eastAsia="Arial" w:hAnsi="Arial"/>
          <w:color w:val="404040"/>
          <w:sz w:val="22"/>
          <w:szCs w:val="22"/>
        </w:rPr>
        <w:t xml:space="preserve">Si [NOM_ORGANISATION] traite des données personnelles de résidents de l'UE et que ce traitement est une activite principale, la designation d'un Delegue a la protection des données (DPO) est recommandee ou obligatoire selon les circonstances.</w:t>
      </w:r>
    </w:p>
    <w:p>
      <w:pPr>
        <w:pStyle w:val="Heading2"/>
      </w:pPr>
      <w:r>
        <w:t xml:space="preserve">registre des activités de traitement (RAT)</w:t>
      </w:r>
    </w:p>
    <w:p>
      <w:r>
        <w:rPr>
          <w:rFonts w:ascii="Arial" w:cs="Arial" w:eastAsia="Arial" w:hAnsi="Arial"/>
          <w:color w:val="404040"/>
          <w:sz w:val="22"/>
          <w:szCs w:val="22"/>
        </w:rPr>
        <w:t xml:space="preserve">[NOM_ORGANISATION] doit maintenir un registre de tous les traitements de données personnelles, y compris pour les systèmes d'IA, documentant :</w:t>
      </w:r>
    </w:p>
    <w:p>
      <w:pPr>
        <w:pStyle w:val="ListParagraph"/>
        <w:numPr>
          <w:ilvl w:val="0"/>
          <w:numId w:val="2"/>
        </w:numPr>
      </w:pPr>
      <w:r>
        <w:rPr>
          <w:rFonts w:ascii="Arial" w:cs="Arial" w:eastAsia="Arial" w:hAnsi="Arial"/>
          <w:color w:val="404040"/>
          <w:sz w:val="22"/>
          <w:szCs w:val="22"/>
        </w:rPr>
        <w:t xml:space="preserve">Nom et description du système d'IA</w:t>
      </w:r>
    </w:p>
    <w:p>
      <w:pPr>
        <w:pStyle w:val="ListParagraph"/>
        <w:numPr>
          <w:ilvl w:val="0"/>
          <w:numId w:val="2"/>
        </w:numPr>
      </w:pPr>
      <w:r>
        <w:rPr>
          <w:rFonts w:ascii="Arial" w:cs="Arial" w:eastAsia="Arial" w:hAnsi="Arial"/>
          <w:color w:val="404040"/>
          <w:sz w:val="22"/>
          <w:szCs w:val="22"/>
        </w:rPr>
        <w:t xml:space="preserve">catégories de données personnelles traitees</w:t>
      </w:r>
    </w:p>
    <w:p>
      <w:pPr>
        <w:pStyle w:val="ListParagraph"/>
        <w:numPr>
          <w:ilvl w:val="0"/>
          <w:numId w:val="2"/>
        </w:numPr>
      </w:pPr>
      <w:r>
        <w:rPr>
          <w:rFonts w:ascii="Arial" w:cs="Arial" w:eastAsia="Arial" w:hAnsi="Arial"/>
          <w:color w:val="404040"/>
          <w:sz w:val="22"/>
          <w:szCs w:val="22"/>
        </w:rPr>
        <w:t xml:space="preserve">Finalites du traitement</w:t>
      </w:r>
    </w:p>
    <w:p>
      <w:pPr>
        <w:pStyle w:val="ListParagraph"/>
        <w:numPr>
          <w:ilvl w:val="0"/>
          <w:numId w:val="2"/>
        </w:numPr>
      </w:pPr>
      <w:r>
        <w:rPr>
          <w:rFonts w:ascii="Arial" w:cs="Arial" w:eastAsia="Arial" w:hAnsi="Arial"/>
          <w:color w:val="404040"/>
          <w:sz w:val="22"/>
          <w:szCs w:val="22"/>
        </w:rPr>
        <w:t xml:space="preserve">Destinataires des données</w:t>
      </w:r>
    </w:p>
    <w:p>
      <w:pPr>
        <w:pStyle w:val="ListParagraph"/>
        <w:numPr>
          <w:ilvl w:val="0"/>
          <w:numId w:val="2"/>
        </w:numPr>
      </w:pPr>
      <w:r>
        <w:rPr>
          <w:rFonts w:ascii="Arial" w:cs="Arial" w:eastAsia="Arial" w:hAnsi="Arial"/>
          <w:color w:val="404040"/>
          <w:sz w:val="22"/>
          <w:szCs w:val="22"/>
        </w:rPr>
        <w:t xml:space="preserve">Periode de conservation</w:t>
      </w:r>
    </w:p>
    <w:p>
      <w:pPr>
        <w:pStyle w:val="ListParagraph"/>
        <w:numPr>
          <w:ilvl w:val="0"/>
          <w:numId w:val="2"/>
        </w:numPr>
      </w:pPr>
      <w:r>
        <w:rPr>
          <w:rFonts w:ascii="Arial" w:cs="Arial" w:eastAsia="Arial" w:hAnsi="Arial"/>
          <w:color w:val="404040"/>
          <w:sz w:val="22"/>
          <w:szCs w:val="22"/>
        </w:rPr>
        <w:t xml:space="preserve">mesures techniques et organisationnelles de sécurité et de confidentialité</w:t>
      </w:r>
    </w:p>
    <w:p>
      <w:pPr>
        <w:pStyle w:val="Heading2"/>
      </w:pPr>
      <w:r>
        <w:t xml:space="preserve">Notification des violations de données</w:t>
      </w:r>
    </w:p>
    <w:p>
      <w:r>
        <w:rPr>
          <w:rFonts w:ascii="Arial" w:cs="Arial" w:eastAsia="Arial" w:hAnsi="Arial"/>
          <w:color w:val="404040"/>
          <w:sz w:val="22"/>
          <w:szCs w:val="22"/>
        </w:rPr>
        <w:t xml:space="preserve">En cas de violation de données personnelles (accès non autorisés, perte de données, etc.), [NOM_ORGANISATION] doit :</w:t>
      </w:r>
    </w:p>
    <w:p>
      <w:pPr>
        <w:pStyle w:val="ListParagraph"/>
        <w:numPr>
          <w:ilvl w:val="0"/>
          <w:numId w:val="2"/>
        </w:numPr>
      </w:pPr>
      <w:r>
        <w:rPr>
          <w:rFonts w:ascii="Arial" w:cs="Arial" w:eastAsia="Arial" w:hAnsi="Arial"/>
          <w:color w:val="404040"/>
          <w:sz w:val="22"/>
          <w:szCs w:val="22"/>
        </w:rPr>
        <w:t xml:space="preserve">Notifier l'autorite de protection des données sans delai (idealement dans les 72 heures)</w:t>
      </w:r>
    </w:p>
    <w:p>
      <w:pPr>
        <w:pStyle w:val="ListParagraph"/>
        <w:numPr>
          <w:ilvl w:val="0"/>
          <w:numId w:val="2"/>
        </w:numPr>
      </w:pPr>
      <w:r>
        <w:rPr>
          <w:rFonts w:ascii="Arial" w:cs="Arial" w:eastAsia="Arial" w:hAnsi="Arial"/>
          <w:color w:val="404040"/>
          <w:sz w:val="22"/>
          <w:szCs w:val="22"/>
        </w:rPr>
        <w:t xml:space="preserve">Notifier les personnes affectées si la violation presente un risque élevé pour leurs droits et libertes</w:t>
      </w:r>
    </w:p>
    <w:p>
      <w:pPr>
        <w:pStyle w:val="ListParagraph"/>
        <w:numPr>
          <w:ilvl w:val="0"/>
          <w:numId w:val="2"/>
        </w:numPr>
      </w:pPr>
      <w:r>
        <w:rPr>
          <w:rFonts w:ascii="Arial" w:cs="Arial" w:eastAsia="Arial" w:hAnsi="Arial"/>
          <w:color w:val="404040"/>
          <w:sz w:val="22"/>
          <w:szCs w:val="22"/>
        </w:rPr>
        <w:t xml:space="preserve">Documenter la violation et les mesures correctives</w:t>
      </w:r>
    </w:p>
    <w:p>
      <w:r>
        <w:br w:type="page"/>
      </w:r>
    </w:p>
    <w:p>
      <w:pPr>
        <w:pStyle w:val="Heading1"/>
      </w:pPr>
      <w:r>
        <w:t xml:space="preserve">Aligner RGPD, Loi 25 et C-27/LIAD</w:t>
      </w:r>
    </w:p>
    <w:p>
      <w:r>
        <w:rPr>
          <w:rFonts w:ascii="Arial" w:cs="Arial" w:eastAsia="Arial" w:hAnsi="Arial"/>
          <w:color w:val="404040"/>
          <w:sz w:val="22"/>
          <w:szCs w:val="22"/>
        </w:rPr>
        <w:t xml:space="preserve">Si [NOM_ORGANISATION] est assujetie a la fois au RGPD (données de résidents UE) et a la Loi 25 (données de résidents Québec), et potentiellement a la C-27/LIAD (si elle fait affaires au Canada), une approche harmonisee est recommandee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Element de conformité</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RGPD (UE)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Loi 25 (Québec)</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C-27/LIAD (Canada)</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consentement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explicite, eclaire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explicite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Obligatoire pour incidence élevée ou interdite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Transparence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Information complete requise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Information claire requise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registre public requis (incidence élevée)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d'accès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 30 jours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 raisonnable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 specifie (comme fournisseur)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a l'oubli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 (avec exceptions)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 (Art. 16)</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 specifie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Decisions automatisees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Art. 22 - safeguards requis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Art. 12.1 - révision manuelle requise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registre et monitoring requis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d'impact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DPIA requise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EIVP recommandee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risques requise</w:t>
            </w:r>
          </w:p>
        </w:tc>
      </w:tr>
    </w:tbl>
    <w:p>
      <w:r>
        <w:rPr>
          <w:rFonts w:ascii="Arial" w:cs="Arial" w:eastAsia="Arial" w:hAnsi="Arial"/>
          <w:b/>
          <w:bCs/>
          <w:color w:val="404040"/>
          <w:sz w:val="22"/>
          <w:szCs w:val="22"/>
        </w:rPr>
        <w:t xml:space="preserve">Approche recommandee : appliquer le standard le plus strict (generalement RGPD) pour tous les traitements de données et tous les systèmes d'IA.</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 / responsable RGPD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conformité au RGPD, conseille sur les obligations, coordonne les DPIAs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travaille avec le DPO pour s'assurer que les systèmes d'IA respectent le RGPD et l'EU AI Act</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Inventaire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Lister tous les systèmes d'IA traitant des données UE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DPIA</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Realiser une DPIA pour chaque système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RAT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Mettre a jour le registre des activités de traitement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Safeguards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Implémenter les safeguards pour les décisions automatisees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Monitoring</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Etablir un monitoring continu de la conformité</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RGPD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général sur la protection des données (UE)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Delegue a la protection des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d'impact relative a la protection des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registre des activités de traitement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EEE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Espace economique europeen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de conformité RGPD et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2026-03-05T02:24:49.730Z</dcterms:created>
  <dcterms:modified xsi:type="dcterms:W3CDTF">2026-03-05T02:24:49.731Z</dcterms:modified>
</cp:coreProperties>
</file>

<file path=docProps/custom.xml><?xml version="1.0" encoding="utf-8"?>
<Properties xmlns="http://schemas.openxmlformats.org/officeDocument/2006/custom-properties" xmlns:vt="http://schemas.openxmlformats.org/officeDocument/2006/docPropsVTypes"/>
</file>