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cadre d'audit IA</w:t>
      </w:r>
    </w:p>
    <w:p>
      <w:pPr>
        <w:spacing w:after="600"/>
        <w:jc w:val="center"/>
      </w:pPr>
      <w:r>
        <w:rPr>
          <w:rFonts w:ascii="Arial" w:cs="Arial" w:eastAsia="Arial" w:hAnsi="Arial"/>
          <w:color w:val="2E75B6"/>
          <w:sz w:val="24"/>
          <w:szCs w:val="24"/>
        </w:rPr>
        <w:t xml:space="preserve">méthodologie et criteres pour les audits internes et externes des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Le cadre d'audit IA de [NOM_ORGANISATION] etablit la méthodologie, les criteres et le processus pour realiser des audits internes et externes des systèmes d'intelligence artificielle afin de verifier leur conformité avec les exigences légales, réglementaires et internes.</w:t>
      </w:r>
    </w:p>
    <w:p>
      <w:pPr>
        <w:pStyle w:val="Heading2"/>
      </w:pPr>
      <w:r>
        <w:t xml:space="preserve">objectifs du cadre d'audit</w:t>
      </w:r>
    </w:p>
    <w:p>
      <w:pPr>
        <w:pStyle w:val="ListParagraph"/>
        <w:numPr>
          <w:ilvl w:val="0"/>
          <w:numId w:val="2"/>
        </w:numPr>
      </w:pPr>
      <w:r>
        <w:rPr>
          <w:rFonts w:ascii="Arial" w:cs="Arial" w:eastAsia="Arial" w:hAnsi="Arial"/>
          <w:color w:val="404040"/>
          <w:sz w:val="22"/>
          <w:szCs w:val="22"/>
        </w:rPr>
        <w:t xml:space="preserve">Etablir une méthodologie commune pour les audits IA</w:t>
      </w:r>
    </w:p>
    <w:p>
      <w:pPr>
        <w:pStyle w:val="ListParagraph"/>
        <w:numPr>
          <w:ilvl w:val="0"/>
          <w:numId w:val="2"/>
        </w:numPr>
      </w:pPr>
      <w:r>
        <w:rPr>
          <w:rFonts w:ascii="Arial" w:cs="Arial" w:eastAsia="Arial" w:hAnsi="Arial"/>
          <w:color w:val="404040"/>
          <w:sz w:val="22"/>
          <w:szCs w:val="22"/>
        </w:rPr>
        <w:t xml:space="preserve">Définir les compétences requises pour les auditeurs</w:t>
      </w:r>
    </w:p>
    <w:p>
      <w:pPr>
        <w:pStyle w:val="ListParagraph"/>
        <w:numPr>
          <w:ilvl w:val="0"/>
          <w:numId w:val="2"/>
        </w:numPr>
      </w:pPr>
      <w:r>
        <w:rPr>
          <w:rFonts w:ascii="Arial" w:cs="Arial" w:eastAsia="Arial" w:hAnsi="Arial"/>
          <w:color w:val="404040"/>
          <w:sz w:val="22"/>
          <w:szCs w:val="22"/>
        </w:rPr>
        <w:t xml:space="preserve">Documenter le referentiel d'audit (criteres et bonnes pratiques)</w:t>
      </w:r>
    </w:p>
    <w:p>
      <w:pPr>
        <w:pStyle w:val="ListParagraph"/>
        <w:numPr>
          <w:ilvl w:val="0"/>
          <w:numId w:val="2"/>
        </w:numPr>
      </w:pPr>
      <w:r>
        <w:rPr>
          <w:rFonts w:ascii="Arial" w:cs="Arial" w:eastAsia="Arial" w:hAnsi="Arial"/>
          <w:color w:val="404040"/>
          <w:sz w:val="22"/>
          <w:szCs w:val="22"/>
        </w:rPr>
        <w:t xml:space="preserve">Assurer la coherence et la qualité des audits</w:t>
      </w:r>
    </w:p>
    <w:p>
      <w:pPr>
        <w:pStyle w:val="ListParagraph"/>
        <w:numPr>
          <w:ilvl w:val="0"/>
          <w:numId w:val="2"/>
        </w:numPr>
      </w:pPr>
      <w:r>
        <w:rPr>
          <w:rFonts w:ascii="Arial" w:cs="Arial" w:eastAsia="Arial" w:hAnsi="Arial"/>
          <w:color w:val="404040"/>
          <w:sz w:val="22"/>
          <w:szCs w:val="22"/>
        </w:rPr>
        <w:t xml:space="preserve">Faciliter le suivi des non-conformites identifiees</w:t>
      </w:r>
    </w:p>
    <w:p>
      <w:pPr>
        <w:pStyle w:val="Heading1"/>
      </w:pPr>
      <w:r>
        <w:t xml:space="preserve">Definitions et concepts</w:t>
      </w:r>
    </w:p>
    <w:p>
      <w:pPr>
        <w:pStyle w:val="Heading2"/>
      </w:pPr>
      <w:r>
        <w:t xml:space="preserve">Audit IA</w:t>
      </w:r>
    </w:p>
    <w:p>
      <w:r>
        <w:rPr>
          <w:rFonts w:ascii="Arial" w:cs="Arial" w:eastAsia="Arial" w:hAnsi="Arial"/>
          <w:color w:val="404040"/>
          <w:sz w:val="22"/>
          <w:szCs w:val="22"/>
        </w:rPr>
        <w:t xml:space="preserve">Un audit IA est un examen systematique et independant d'un système d'intelligence artificielle pour evaluer sa conformité avec des criteres pre-définis, notamment :</w:t>
      </w:r>
    </w:p>
    <w:p>
      <w:pPr>
        <w:pStyle w:val="ListParagraph"/>
        <w:numPr>
          <w:ilvl w:val="0"/>
          <w:numId w:val="2"/>
        </w:numPr>
      </w:pPr>
      <w:r>
        <w:rPr>
          <w:rFonts w:ascii="Arial" w:cs="Arial" w:eastAsia="Arial" w:hAnsi="Arial"/>
          <w:color w:val="404040"/>
          <w:sz w:val="22"/>
          <w:szCs w:val="22"/>
        </w:rPr>
        <w:t xml:space="preserve">conformité legale et réglementaire</w:t>
      </w:r>
    </w:p>
    <w:p>
      <w:pPr>
        <w:pStyle w:val="ListParagraph"/>
        <w:numPr>
          <w:ilvl w:val="0"/>
          <w:numId w:val="2"/>
        </w:numPr>
      </w:pPr>
      <w:r>
        <w:rPr>
          <w:rFonts w:ascii="Arial" w:cs="Arial" w:eastAsia="Arial" w:hAnsi="Arial"/>
          <w:color w:val="404040"/>
          <w:sz w:val="22"/>
          <w:szCs w:val="22"/>
        </w:rPr>
        <w:t xml:space="preserve">respect des politiques internes de gouvernance IA</w:t>
      </w:r>
    </w:p>
    <w:p>
      <w:pPr>
        <w:pStyle w:val="ListParagraph"/>
        <w:numPr>
          <w:ilvl w:val="0"/>
          <w:numId w:val="2"/>
        </w:numPr>
      </w:pPr>
      <w:r>
        <w:rPr>
          <w:rFonts w:ascii="Arial" w:cs="Arial" w:eastAsia="Arial" w:hAnsi="Arial"/>
          <w:color w:val="404040"/>
          <w:sz w:val="22"/>
          <w:szCs w:val="22"/>
        </w:rPr>
        <w:t xml:space="preserve">qualité technique et fiabilité du système</w:t>
      </w:r>
    </w:p>
    <w:p>
      <w:pPr>
        <w:pStyle w:val="ListParagraph"/>
        <w:numPr>
          <w:ilvl w:val="0"/>
          <w:numId w:val="2"/>
        </w:numPr>
      </w:pPr>
      <w:r>
        <w:rPr>
          <w:rFonts w:ascii="Arial" w:cs="Arial" w:eastAsia="Arial" w:hAnsi="Arial"/>
          <w:color w:val="404040"/>
          <w:sz w:val="22"/>
          <w:szCs w:val="22"/>
        </w:rPr>
        <w:t xml:space="preserve">gestion des risques et des biais</w:t>
      </w:r>
    </w:p>
    <w:p>
      <w:pPr>
        <w:pStyle w:val="ListParagraph"/>
        <w:numPr>
          <w:ilvl w:val="0"/>
          <w:numId w:val="2"/>
        </w:numPr>
      </w:pPr>
      <w:r>
        <w:rPr>
          <w:rFonts w:ascii="Arial" w:cs="Arial" w:eastAsia="Arial" w:hAnsi="Arial"/>
          <w:color w:val="404040"/>
          <w:sz w:val="22"/>
          <w:szCs w:val="22"/>
        </w:rPr>
        <w:t xml:space="preserve">Documentation et traçabilite</w:t>
      </w:r>
    </w:p>
    <w:p>
      <w:pPr>
        <w:pStyle w:val="Heading2"/>
      </w:pPr>
      <w:r>
        <w:t xml:space="preserve">Audit interne</w:t>
      </w:r>
    </w:p>
    <w:p>
      <w:r>
        <w:rPr>
          <w:rFonts w:ascii="Arial" w:cs="Arial" w:eastAsia="Arial" w:hAnsi="Arial"/>
          <w:color w:val="404040"/>
          <w:sz w:val="22"/>
          <w:szCs w:val="22"/>
        </w:rPr>
        <w:t xml:space="preserve">Audit réalisé par une équipe d'auditeurs internes de [NOM_ORGANISATION], indépendante de l'équipe qui gère le système audit.</w:t>
      </w:r>
    </w:p>
    <w:p>
      <w:pPr>
        <w:pStyle w:val="Heading2"/>
      </w:pPr>
      <w:r>
        <w:t xml:space="preserve">Audit externe</w:t>
      </w:r>
    </w:p>
    <w:p>
      <w:r>
        <w:rPr>
          <w:rFonts w:ascii="Arial" w:cs="Arial" w:eastAsia="Arial" w:hAnsi="Arial"/>
          <w:color w:val="404040"/>
          <w:sz w:val="22"/>
          <w:szCs w:val="22"/>
        </w:rPr>
        <w:t xml:space="preserve">Audit réalisé par une firme d'audit indépendante externe, apportant une assurance addionnelle et une perspective objective.</w:t>
      </w:r>
    </w:p>
    <w:p>
      <w:pPr>
        <w:pStyle w:val="Heading1"/>
      </w:pPr>
      <w:r>
        <w:t xml:space="preserve">Types et frequence d'audits</w:t>
      </w:r>
    </w:p>
    <w:p>
      <w:pPr>
        <w:pStyle w:val="Heading2"/>
      </w:pPr>
      <w:r>
        <w:t xml:space="preserve">Audit de conformité</w:t>
      </w:r>
    </w:p>
    <w:p>
      <w:r>
        <w:rPr>
          <w:rFonts w:ascii="Arial" w:cs="Arial" w:eastAsia="Arial" w:hAnsi="Arial"/>
          <w:color w:val="404040"/>
          <w:sz w:val="22"/>
          <w:szCs w:val="22"/>
        </w:rPr>
        <w:t xml:space="preserve">évaluée le respect des exigences légales et réglementaires applicables :</w:t>
      </w:r>
    </w:p>
    <w:p>
      <w:pPr>
        <w:pStyle w:val="ListParagraph"/>
        <w:numPr>
          <w:ilvl w:val="0"/>
          <w:numId w:val="2"/>
        </w:numPr>
      </w:pPr>
      <w:r>
        <w:rPr>
          <w:rFonts w:ascii="Arial" w:cs="Arial" w:eastAsia="Arial" w:hAnsi="Arial"/>
          <w:color w:val="404040"/>
          <w:sz w:val="22"/>
          <w:szCs w:val="22"/>
        </w:rPr>
        <w:t xml:space="preserve">Loi 25 (Québec) - protection des données</w:t>
      </w:r>
    </w:p>
    <w:p>
      <w:pPr>
        <w:pStyle w:val="ListParagraph"/>
        <w:numPr>
          <w:ilvl w:val="0"/>
          <w:numId w:val="2"/>
        </w:numPr>
      </w:pPr>
      <w:r>
        <w:rPr>
          <w:rFonts w:ascii="Arial" w:cs="Arial" w:eastAsia="Arial" w:hAnsi="Arial"/>
          <w:color w:val="404040"/>
          <w:sz w:val="22"/>
          <w:szCs w:val="22"/>
        </w:rPr>
        <w:t xml:space="preserve">C-27/LIAD (Canada) - gouvernance IA</w:t>
      </w:r>
    </w:p>
    <w:p>
      <w:pPr>
        <w:pStyle w:val="ListParagraph"/>
        <w:numPr>
          <w:ilvl w:val="0"/>
          <w:numId w:val="2"/>
        </w:numPr>
      </w:pPr>
      <w:r>
        <w:rPr>
          <w:rFonts w:ascii="Arial" w:cs="Arial" w:eastAsia="Arial" w:hAnsi="Arial"/>
          <w:color w:val="404040"/>
          <w:sz w:val="22"/>
          <w:szCs w:val="22"/>
        </w:rPr>
        <w:t xml:space="preserve">RGPD (UE) - si données de résidents UE</w:t>
      </w:r>
    </w:p>
    <w:p>
      <w:pPr>
        <w:pStyle w:val="ListParagraph"/>
        <w:numPr>
          <w:ilvl w:val="0"/>
          <w:numId w:val="2"/>
        </w:numPr>
      </w:pPr>
      <w:r>
        <w:rPr>
          <w:rFonts w:ascii="Arial" w:cs="Arial" w:eastAsia="Arial" w:hAnsi="Arial"/>
          <w:color w:val="404040"/>
          <w:sz w:val="22"/>
          <w:szCs w:val="22"/>
        </w:rPr>
        <w:t xml:space="preserve">Normes ISO (42001, 23894)</w:t>
      </w:r>
    </w:p>
    <w:p>
      <w:pPr>
        <w:pStyle w:val="Heading2"/>
      </w:pPr>
      <w:r>
        <w:t xml:space="preserve">Audit de risques</w:t>
      </w:r>
    </w:p>
    <w:p>
      <w:r>
        <w:rPr>
          <w:rFonts w:ascii="Arial" w:cs="Arial" w:eastAsia="Arial" w:hAnsi="Arial"/>
          <w:color w:val="404040"/>
          <w:sz w:val="22"/>
          <w:szCs w:val="22"/>
        </w:rPr>
        <w:t xml:space="preserve">évaluée l'efficacite des processus de gestion des risques liés à l'IA :</w:t>
      </w:r>
    </w:p>
    <w:p>
      <w:pPr>
        <w:pStyle w:val="ListParagraph"/>
        <w:numPr>
          <w:ilvl w:val="0"/>
          <w:numId w:val="2"/>
        </w:numPr>
      </w:pPr>
      <w:r>
        <w:rPr>
          <w:rFonts w:ascii="Arial" w:cs="Arial" w:eastAsia="Arial" w:hAnsi="Arial"/>
          <w:color w:val="404040"/>
          <w:sz w:val="22"/>
          <w:szCs w:val="22"/>
        </w:rPr>
        <w:t xml:space="preserve">Identification des risques (biais, sécurité, explicabilité)</w:t>
      </w:r>
    </w:p>
    <w:p>
      <w:pPr>
        <w:pStyle w:val="ListParagraph"/>
        <w:numPr>
          <w:ilvl w:val="0"/>
          <w:numId w:val="2"/>
        </w:numPr>
      </w:pPr>
      <w:r>
        <w:rPr>
          <w:rFonts w:ascii="Arial" w:cs="Arial" w:eastAsia="Arial" w:hAnsi="Arial"/>
          <w:color w:val="404040"/>
          <w:sz w:val="22"/>
          <w:szCs w:val="22"/>
        </w:rPr>
        <w:t xml:space="preserve">évaluation de la probabilité et de l'impact</w:t>
      </w:r>
    </w:p>
    <w:p>
      <w:pPr>
        <w:pStyle w:val="ListParagraph"/>
        <w:numPr>
          <w:ilvl w:val="0"/>
          <w:numId w:val="2"/>
        </w:numPr>
      </w:pPr>
      <w:r>
        <w:rPr>
          <w:rFonts w:ascii="Arial" w:cs="Arial" w:eastAsia="Arial" w:hAnsi="Arial"/>
          <w:color w:val="404040"/>
          <w:sz w:val="22"/>
          <w:szCs w:val="22"/>
        </w:rPr>
        <w:t xml:space="preserve">Mise en œuvre des mesures d'atténuation</w:t>
      </w:r>
    </w:p>
    <w:p>
      <w:pPr>
        <w:pStyle w:val="ListParagraph"/>
        <w:numPr>
          <w:ilvl w:val="0"/>
          <w:numId w:val="2"/>
        </w:numPr>
      </w:pPr>
      <w:r>
        <w:rPr>
          <w:rFonts w:ascii="Arial" w:cs="Arial" w:eastAsia="Arial" w:hAnsi="Arial"/>
          <w:color w:val="404040"/>
          <w:sz w:val="22"/>
          <w:szCs w:val="22"/>
        </w:rPr>
        <w:t xml:space="preserve">Monitoring continu des risques</w:t>
      </w:r>
    </w:p>
    <w:p>
      <w:pPr>
        <w:pStyle w:val="Heading2"/>
      </w:pPr>
      <w:r>
        <w:t xml:space="preserve">Audit de performance</w:t>
      </w:r>
    </w:p>
    <w:p>
      <w:r>
        <w:rPr>
          <w:rFonts w:ascii="Arial" w:cs="Arial" w:eastAsia="Arial" w:hAnsi="Arial"/>
          <w:color w:val="404040"/>
          <w:sz w:val="22"/>
          <w:szCs w:val="22"/>
        </w:rPr>
        <w:t xml:space="preserve">évaluée la performance technique et opérationnelle du système d'IA :</w:t>
      </w:r>
    </w:p>
    <w:p>
      <w:pPr>
        <w:pStyle w:val="ListParagraph"/>
        <w:numPr>
          <w:ilvl w:val="0"/>
          <w:numId w:val="2"/>
        </w:numPr>
      </w:pPr>
      <w:r>
        <w:rPr>
          <w:rFonts w:ascii="Arial" w:cs="Arial" w:eastAsia="Arial" w:hAnsi="Arial"/>
          <w:color w:val="404040"/>
          <w:sz w:val="22"/>
          <w:szCs w:val="22"/>
        </w:rPr>
        <w:t xml:space="preserve">Precision et fiabilité des prédictions/décisions</w:t>
      </w:r>
    </w:p>
    <w:p>
      <w:pPr>
        <w:pStyle w:val="ListParagraph"/>
        <w:numPr>
          <w:ilvl w:val="0"/>
          <w:numId w:val="2"/>
        </w:numPr>
      </w:pPr>
      <w:r>
        <w:rPr>
          <w:rFonts w:ascii="Arial" w:cs="Arial" w:eastAsia="Arial" w:hAnsi="Arial"/>
          <w:color w:val="404040"/>
          <w:sz w:val="22"/>
          <w:szCs w:val="22"/>
        </w:rPr>
        <w:t xml:space="preserve">Performance pour différents groupes de population</w:t>
      </w:r>
    </w:p>
    <w:p>
      <w:pPr>
        <w:pStyle w:val="ListParagraph"/>
        <w:numPr>
          <w:ilvl w:val="0"/>
          <w:numId w:val="2"/>
        </w:numPr>
      </w:pPr>
      <w:r>
        <w:rPr>
          <w:rFonts w:ascii="Arial" w:cs="Arial" w:eastAsia="Arial" w:hAnsi="Arial"/>
          <w:color w:val="404040"/>
          <w:sz w:val="22"/>
          <w:szCs w:val="22"/>
        </w:rPr>
        <w:t xml:space="preserve">Stabilite et coherence des résultats</w:t>
      </w:r>
    </w:p>
    <w:p>
      <w:pPr>
        <w:pStyle w:val="ListParagraph"/>
        <w:numPr>
          <w:ilvl w:val="0"/>
          <w:numId w:val="2"/>
        </w:numPr>
      </w:pPr>
      <w:r>
        <w:rPr>
          <w:rFonts w:ascii="Arial" w:cs="Arial" w:eastAsia="Arial" w:hAnsi="Arial"/>
          <w:color w:val="404040"/>
          <w:sz w:val="22"/>
          <w:szCs w:val="22"/>
        </w:rPr>
        <w:t xml:space="preserve">robustesse contre les attaques ou manipulations</w:t>
      </w:r>
    </w:p>
    <w:p>
      <w:pPr>
        <w:pStyle w:val="Heading2"/>
      </w:pPr>
      <w:r>
        <w:t xml:space="preserve">Audit de documentation</w:t>
      </w:r>
    </w:p>
    <w:p>
      <w:r>
        <w:rPr>
          <w:rFonts w:ascii="Arial" w:cs="Arial" w:eastAsia="Arial" w:hAnsi="Arial"/>
          <w:color w:val="404040"/>
          <w:sz w:val="22"/>
          <w:szCs w:val="22"/>
        </w:rPr>
        <w:t xml:space="preserve">évaluée la completude et l'exactitude de la documentation du système :</w:t>
      </w:r>
    </w:p>
    <w:p>
      <w:pPr>
        <w:pStyle w:val="ListParagraph"/>
        <w:numPr>
          <w:ilvl w:val="0"/>
          <w:numId w:val="2"/>
        </w:numPr>
      </w:pPr>
      <w:r>
        <w:rPr>
          <w:rFonts w:ascii="Arial" w:cs="Arial" w:eastAsia="Arial" w:hAnsi="Arial"/>
          <w:color w:val="404040"/>
          <w:sz w:val="22"/>
          <w:szCs w:val="22"/>
        </w:rPr>
        <w:t xml:space="preserve">registre des systèmes d'IA</w:t>
      </w:r>
    </w:p>
    <w:p>
      <w:pPr>
        <w:pStyle w:val="ListParagraph"/>
        <w:numPr>
          <w:ilvl w:val="0"/>
          <w:numId w:val="2"/>
        </w:numPr>
      </w:pPr>
      <w:r>
        <w:rPr>
          <w:rFonts w:ascii="Arial" w:cs="Arial" w:eastAsia="Arial" w:hAnsi="Arial"/>
          <w:color w:val="404040"/>
          <w:sz w:val="22"/>
          <w:szCs w:val="22"/>
        </w:rPr>
        <w:t xml:space="preserve">Documentation technique (architecture, données, modèles)</w:t>
      </w:r>
    </w:p>
    <w:p>
      <w:pPr>
        <w:pStyle w:val="ListParagraph"/>
        <w:numPr>
          <w:ilvl w:val="0"/>
          <w:numId w:val="2"/>
        </w:numPr>
      </w:pPr>
      <w:r>
        <w:rPr>
          <w:rFonts w:ascii="Arial" w:cs="Arial" w:eastAsia="Arial" w:hAnsi="Arial"/>
          <w:color w:val="404040"/>
          <w:sz w:val="22"/>
          <w:szCs w:val="22"/>
        </w:rPr>
        <w:t xml:space="preserve">registre des décisions automatisees</w:t>
      </w:r>
    </w:p>
    <w:p>
      <w:pPr>
        <w:pStyle w:val="ListParagraph"/>
        <w:numPr>
          <w:ilvl w:val="0"/>
          <w:numId w:val="2"/>
        </w:numPr>
      </w:pPr>
      <w:r>
        <w:rPr>
          <w:rFonts w:ascii="Arial" w:cs="Arial" w:eastAsia="Arial" w:hAnsi="Arial"/>
          <w:color w:val="404040"/>
          <w:sz w:val="22"/>
          <w:szCs w:val="22"/>
        </w:rPr>
        <w:t xml:space="preserve">évaluation d'impact et plan de remédiation</w:t>
      </w:r>
    </w:p>
    <w:p>
      <w:pPr>
        <w:pStyle w:val="Heading2"/>
      </w:pPr>
      <w:r>
        <w:t xml:space="preserve">Frequence recommandee des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système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Audit interne</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Audit externe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à incidence élevée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2 ans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opérationnels critiques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18 mois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3 ans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Nouveaux systèmes deployes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Avant déploiement + 6 mois apres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Avant déploiement (si critique)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systèmes de test / POC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Avant passage en production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escalade en production</w:t>
            </w:r>
          </w:p>
        </w:tc>
      </w:tr>
    </w:tbl>
    <w:p>
      <w:pPr>
        <w:pStyle w:val="Heading1"/>
      </w:pPr>
      <w:r>
        <w:t xml:space="preserve">compétences requises pour les auditeurs IA</w:t>
      </w:r>
    </w:p>
    <w:p>
      <w:pPr>
        <w:pStyle w:val="Heading2"/>
      </w:pPr>
      <w:r>
        <w:t xml:space="preserve">Profil d'un auditeur IA</w:t>
      </w:r>
    </w:p>
    <w:p>
      <w:r>
        <w:rPr>
          <w:rFonts w:ascii="Arial" w:cs="Arial" w:eastAsia="Arial" w:hAnsi="Arial"/>
          <w:color w:val="404040"/>
          <w:sz w:val="22"/>
          <w:szCs w:val="22"/>
        </w:rPr>
        <w:t xml:space="preserve">Un auditeur IA doit posseder :</w:t>
      </w:r>
    </w:p>
    <w:p>
      <w:pPr>
        <w:pStyle w:val="Heading3"/>
      </w:pPr>
      <w:r>
        <w:t xml:space="preserve">Connaissances techniques</w:t>
      </w:r>
    </w:p>
    <w:p>
      <w:pPr>
        <w:pStyle w:val="ListParagraph"/>
        <w:numPr>
          <w:ilvl w:val="0"/>
          <w:numId w:val="2"/>
        </w:numPr>
      </w:pPr>
      <w:r>
        <w:rPr>
          <w:rFonts w:ascii="Arial" w:cs="Arial" w:eastAsia="Arial" w:hAnsi="Arial"/>
          <w:color w:val="404040"/>
          <w:sz w:val="22"/>
          <w:szCs w:val="22"/>
        </w:rPr>
        <w:t xml:space="preserve">Comprehension des algorithmes et techniques de machine learning</w:t>
      </w:r>
    </w:p>
    <w:p>
      <w:pPr>
        <w:pStyle w:val="ListParagraph"/>
        <w:numPr>
          <w:ilvl w:val="0"/>
          <w:numId w:val="2"/>
        </w:numPr>
      </w:pPr>
      <w:r>
        <w:rPr>
          <w:rFonts w:ascii="Arial" w:cs="Arial" w:eastAsia="Arial" w:hAnsi="Arial"/>
          <w:color w:val="404040"/>
          <w:sz w:val="22"/>
          <w:szCs w:val="22"/>
        </w:rPr>
        <w:t xml:space="preserve">Connaissances en data science et analyse de données</w:t>
      </w:r>
    </w:p>
    <w:p>
      <w:pPr>
        <w:pStyle w:val="ListParagraph"/>
        <w:numPr>
          <w:ilvl w:val="0"/>
          <w:numId w:val="2"/>
        </w:numPr>
      </w:pPr>
      <w:r>
        <w:rPr>
          <w:rFonts w:ascii="Arial" w:cs="Arial" w:eastAsia="Arial" w:hAnsi="Arial"/>
          <w:color w:val="404040"/>
          <w:sz w:val="22"/>
          <w:szCs w:val="22"/>
        </w:rPr>
        <w:t xml:space="preserve">Familiarite avec les outils et plateformes d'IA (Python, TensorFlow, etc.)</w:t>
      </w:r>
    </w:p>
    <w:p>
      <w:pPr>
        <w:pStyle w:val="ListParagraph"/>
        <w:numPr>
          <w:ilvl w:val="0"/>
          <w:numId w:val="2"/>
        </w:numPr>
      </w:pPr>
      <w:r>
        <w:rPr>
          <w:rFonts w:ascii="Arial" w:cs="Arial" w:eastAsia="Arial" w:hAnsi="Arial"/>
          <w:color w:val="404040"/>
          <w:sz w:val="22"/>
          <w:szCs w:val="22"/>
        </w:rPr>
        <w:t xml:space="preserve">Comprehension de la sécurité informatique et de la confidentialité des données</w:t>
      </w:r>
    </w:p>
    <w:p>
      <w:pPr>
        <w:pStyle w:val="Heading3"/>
      </w:pPr>
      <w:r>
        <w:t xml:space="preserve">Connaissances en gouvernance et conformité</w:t>
      </w:r>
    </w:p>
    <w:p>
      <w:pPr>
        <w:pStyle w:val="ListParagraph"/>
        <w:numPr>
          <w:ilvl w:val="0"/>
          <w:numId w:val="2"/>
        </w:numPr>
      </w:pPr>
      <w:r>
        <w:rPr>
          <w:rFonts w:ascii="Arial" w:cs="Arial" w:eastAsia="Arial" w:hAnsi="Arial"/>
          <w:color w:val="404040"/>
          <w:sz w:val="22"/>
          <w:szCs w:val="22"/>
        </w:rPr>
        <w:t xml:space="preserve">Connaissance de la Loi 25, C-27/LIAD, RGPD, EU AI Act</w:t>
      </w:r>
    </w:p>
    <w:p>
      <w:pPr>
        <w:pStyle w:val="ListParagraph"/>
        <w:numPr>
          <w:ilvl w:val="0"/>
          <w:numId w:val="2"/>
        </w:numPr>
      </w:pPr>
      <w:r>
        <w:rPr>
          <w:rFonts w:ascii="Arial" w:cs="Arial" w:eastAsia="Arial" w:hAnsi="Arial"/>
          <w:color w:val="404040"/>
          <w:sz w:val="22"/>
          <w:szCs w:val="22"/>
        </w:rPr>
        <w:t xml:space="preserve">Comprehension des normes ISO (42001, 23894)</w:t>
      </w:r>
    </w:p>
    <w:p>
      <w:pPr>
        <w:pStyle w:val="ListParagraph"/>
        <w:numPr>
          <w:ilvl w:val="0"/>
          <w:numId w:val="2"/>
        </w:numPr>
      </w:pPr>
      <w:r>
        <w:rPr>
          <w:rFonts w:ascii="Arial" w:cs="Arial" w:eastAsia="Arial" w:hAnsi="Arial"/>
          <w:color w:val="404040"/>
          <w:sz w:val="22"/>
          <w:szCs w:val="22"/>
        </w:rPr>
        <w:t xml:space="preserve">Experience en audit de conformité et de gestion des risques</w:t>
      </w:r>
    </w:p>
    <w:p>
      <w:pPr>
        <w:pStyle w:val="ListParagraph"/>
        <w:numPr>
          <w:ilvl w:val="0"/>
          <w:numId w:val="2"/>
        </w:numPr>
      </w:pPr>
      <w:r>
        <w:rPr>
          <w:rFonts w:ascii="Arial" w:cs="Arial" w:eastAsia="Arial" w:hAnsi="Arial"/>
          <w:color w:val="404040"/>
          <w:sz w:val="22"/>
          <w:szCs w:val="22"/>
        </w:rPr>
        <w:t xml:space="preserve">Connaissance des meilleures pratiques en gouvernance IA</w:t>
      </w:r>
    </w:p>
    <w:p>
      <w:pPr>
        <w:pStyle w:val="Heading3"/>
      </w:pPr>
      <w:r>
        <w:t xml:space="preserve">compétences professionnelles</w:t>
      </w:r>
    </w:p>
    <w:p>
      <w:pPr>
        <w:pStyle w:val="ListParagraph"/>
        <w:numPr>
          <w:ilvl w:val="0"/>
          <w:numId w:val="2"/>
        </w:numPr>
      </w:pPr>
      <w:r>
        <w:rPr>
          <w:rFonts w:ascii="Arial" w:cs="Arial" w:eastAsia="Arial" w:hAnsi="Arial"/>
          <w:color w:val="404040"/>
          <w:sz w:val="22"/>
          <w:szCs w:val="22"/>
        </w:rPr>
        <w:t xml:space="preserve">compétences d'audit et d'investigation (communication, analyse, resolution de problemes)</w:t>
      </w:r>
    </w:p>
    <w:p>
      <w:pPr>
        <w:pStyle w:val="ListParagraph"/>
        <w:numPr>
          <w:ilvl w:val="0"/>
          <w:numId w:val="2"/>
        </w:numPr>
      </w:pPr>
      <w:r>
        <w:rPr>
          <w:rFonts w:ascii="Arial" w:cs="Arial" w:eastAsia="Arial" w:hAnsi="Arial"/>
          <w:color w:val="404040"/>
          <w:sz w:val="22"/>
          <w:szCs w:val="22"/>
        </w:rPr>
        <w:t xml:space="preserve">Objectivite et independance (pas de conflit d'interet)</w:t>
      </w:r>
    </w:p>
    <w:p>
      <w:pPr>
        <w:pStyle w:val="ListParagraph"/>
        <w:numPr>
          <w:ilvl w:val="0"/>
          <w:numId w:val="2"/>
        </w:numPr>
      </w:pPr>
      <w:r>
        <w:rPr>
          <w:rFonts w:ascii="Arial" w:cs="Arial" w:eastAsia="Arial" w:hAnsi="Arial"/>
          <w:color w:val="404040"/>
          <w:sz w:val="22"/>
          <w:szCs w:val="22"/>
        </w:rPr>
        <w:t xml:space="preserve">compétences d'interview et d'interaction avec les parties prenantes</w:t>
      </w:r>
    </w:p>
    <w:p>
      <w:pPr>
        <w:pStyle w:val="ListParagraph"/>
        <w:numPr>
          <w:ilvl w:val="0"/>
          <w:numId w:val="2"/>
        </w:numPr>
      </w:pPr>
      <w:r>
        <w:rPr>
          <w:rFonts w:ascii="Arial" w:cs="Arial" w:eastAsia="Arial" w:hAnsi="Arial"/>
          <w:color w:val="404040"/>
          <w:sz w:val="22"/>
          <w:szCs w:val="22"/>
        </w:rPr>
        <w:t xml:space="preserve">Capacite a produire des rapports clairs et detailles</w:t>
      </w:r>
    </w:p>
    <w:p>
      <w:pPr>
        <w:pStyle w:val="Heading1"/>
      </w:pPr>
      <w:r>
        <w:t xml:space="preserve">Referentiel d'audit IA</w:t>
      </w:r>
    </w:p>
    <w:p>
      <w:r>
        <w:rPr>
          <w:rFonts w:ascii="Arial" w:cs="Arial" w:eastAsia="Arial" w:hAnsi="Arial"/>
          <w:color w:val="404040"/>
          <w:sz w:val="22"/>
          <w:szCs w:val="22"/>
        </w:rPr>
        <w:t xml:space="preserve">Le referentiel d'audit etablit les criteres contre lesquels les systèmes d'IA seront evalues. Voir le document : registre de conformité IA.</w:t>
      </w:r>
    </w:p>
    <w:p>
      <w:r>
        <w:rPr>
          <w:rFonts w:ascii="Arial" w:cs="Arial" w:eastAsia="Arial" w:hAnsi="Arial"/>
          <w:b/>
          <w:bCs/>
          <w:color w:val="404040"/>
          <w:sz w:val="22"/>
          <w:szCs w:val="22"/>
        </w:rPr>
        <w:t xml:space="preserve">Les criteres incluent :</w:t>
      </w:r>
    </w:p>
    <w:p>
      <w:pPr>
        <w:pStyle w:val="ListParagraph"/>
        <w:numPr>
          <w:ilvl w:val="0"/>
          <w:numId w:val="2"/>
        </w:numPr>
      </w:pPr>
      <w:r>
        <w:rPr>
          <w:rFonts w:ascii="Arial" w:cs="Arial" w:eastAsia="Arial" w:hAnsi="Arial"/>
          <w:color w:val="404040"/>
          <w:sz w:val="22"/>
          <w:szCs w:val="22"/>
        </w:rPr>
        <w:t xml:space="preserve">conformité legale (Loi 25, C-27, RGPD, EU AI Act)</w:t>
      </w:r>
    </w:p>
    <w:p>
      <w:pPr>
        <w:pStyle w:val="ListParagraph"/>
        <w:numPr>
          <w:ilvl w:val="0"/>
          <w:numId w:val="2"/>
        </w:numPr>
      </w:pPr>
      <w:r>
        <w:rPr>
          <w:rFonts w:ascii="Arial" w:cs="Arial" w:eastAsia="Arial" w:hAnsi="Arial"/>
          <w:color w:val="404040"/>
          <w:sz w:val="22"/>
          <w:szCs w:val="22"/>
        </w:rPr>
        <w:t xml:space="preserve">gestion des risques et des biais</w:t>
      </w:r>
    </w:p>
    <w:p>
      <w:pPr>
        <w:pStyle w:val="ListParagraph"/>
        <w:numPr>
          <w:ilvl w:val="0"/>
          <w:numId w:val="2"/>
        </w:numPr>
      </w:pPr>
      <w:r>
        <w:rPr>
          <w:rFonts w:ascii="Arial" w:cs="Arial" w:eastAsia="Arial" w:hAnsi="Arial"/>
          <w:color w:val="404040"/>
          <w:sz w:val="22"/>
          <w:szCs w:val="22"/>
        </w:rPr>
        <w:t xml:space="preserve">Transparence et explicabilité</w:t>
      </w:r>
    </w:p>
    <w:p>
      <w:pPr>
        <w:pStyle w:val="ListParagraph"/>
        <w:numPr>
          <w:ilvl w:val="0"/>
          <w:numId w:val="2"/>
        </w:numPr>
      </w:pPr>
      <w:r>
        <w:rPr>
          <w:rFonts w:ascii="Arial" w:cs="Arial" w:eastAsia="Arial" w:hAnsi="Arial"/>
          <w:color w:val="404040"/>
          <w:sz w:val="22"/>
          <w:szCs w:val="22"/>
        </w:rPr>
        <w:t xml:space="preserve">Sécurité et confidentialité des données</w:t>
      </w:r>
    </w:p>
    <w:p>
      <w:pPr>
        <w:pStyle w:val="ListParagraph"/>
        <w:numPr>
          <w:ilvl w:val="0"/>
          <w:numId w:val="2"/>
        </w:numPr>
      </w:pPr>
      <w:r>
        <w:rPr>
          <w:rFonts w:ascii="Arial" w:cs="Arial" w:eastAsia="Arial" w:hAnsi="Arial"/>
          <w:color w:val="404040"/>
          <w:sz w:val="22"/>
          <w:szCs w:val="22"/>
        </w:rPr>
        <w:t xml:space="preserve">Documentation et traçabilite</w:t>
      </w:r>
    </w:p>
    <w:p>
      <w:pPr>
        <w:pStyle w:val="ListParagraph"/>
        <w:numPr>
          <w:ilvl w:val="0"/>
          <w:numId w:val="2"/>
        </w:numPr>
      </w:pPr>
      <w:r>
        <w:rPr>
          <w:rFonts w:ascii="Arial" w:cs="Arial" w:eastAsia="Arial" w:hAnsi="Arial"/>
          <w:color w:val="404040"/>
          <w:sz w:val="22"/>
          <w:szCs w:val="22"/>
        </w:rPr>
        <w:t xml:space="preserve">gouvernance et roles/responsabilités</w:t>
      </w:r>
    </w:p>
    <w:p>
      <w:pPr>
        <w:pStyle w:val="Heading1"/>
      </w:pPr>
      <w:r>
        <w:t xml:space="preserve">processus d'audit</w:t>
      </w:r>
    </w:p>
    <w:p>
      <w:pPr>
        <w:pStyle w:val="Heading2"/>
      </w:pPr>
      <w:r>
        <w:t xml:space="preserve">Phase 1 - Planification</w:t>
      </w:r>
    </w:p>
    <w:p>
      <w:r>
        <w:rPr>
          <w:rFonts w:ascii="Arial" w:cs="Arial" w:eastAsia="Arial" w:hAnsi="Arial"/>
          <w:color w:val="404040"/>
          <w:sz w:val="22"/>
          <w:szCs w:val="22"/>
        </w:rPr>
        <w:t xml:space="preserve">L'auditeur doit :</w:t>
      </w:r>
    </w:p>
    <w:p>
      <w:pPr>
        <w:pStyle w:val="ListParagraph"/>
        <w:numPr>
          <w:ilvl w:val="0"/>
          <w:numId w:val="3"/>
        </w:numPr>
      </w:pPr>
      <w:r>
        <w:rPr>
          <w:rFonts w:ascii="Arial" w:cs="Arial" w:eastAsia="Arial" w:hAnsi="Arial"/>
          <w:color w:val="404040"/>
          <w:sz w:val="22"/>
          <w:szCs w:val="22"/>
        </w:rPr>
        <w:t xml:space="preserve">Identifier le système d'IA a auditer et ses caractéristiques principales</w:t>
      </w:r>
    </w:p>
    <w:p>
      <w:pPr>
        <w:pStyle w:val="ListParagraph"/>
        <w:numPr>
          <w:ilvl w:val="0"/>
          <w:numId w:val="3"/>
        </w:numPr>
      </w:pPr>
      <w:r>
        <w:rPr>
          <w:rFonts w:ascii="Arial" w:cs="Arial" w:eastAsia="Arial" w:hAnsi="Arial"/>
          <w:color w:val="404040"/>
          <w:sz w:val="22"/>
          <w:szCs w:val="22"/>
        </w:rPr>
        <w:t xml:space="preserve">Définir le perimetre et l'objectif de l'audit</w:t>
      </w:r>
    </w:p>
    <w:p>
      <w:pPr>
        <w:pStyle w:val="ListParagraph"/>
        <w:numPr>
          <w:ilvl w:val="0"/>
          <w:numId w:val="3"/>
        </w:numPr>
      </w:pPr>
      <w:r>
        <w:rPr>
          <w:rFonts w:ascii="Arial" w:cs="Arial" w:eastAsia="Arial" w:hAnsi="Arial"/>
          <w:color w:val="404040"/>
          <w:sz w:val="22"/>
          <w:szCs w:val="22"/>
        </w:rPr>
        <w:t xml:space="preserve">Selectionner les criteres applicables du referentiel d'audit</w:t>
      </w:r>
    </w:p>
    <w:p>
      <w:pPr>
        <w:pStyle w:val="ListParagraph"/>
        <w:numPr>
          <w:ilvl w:val="0"/>
          <w:numId w:val="3"/>
        </w:numPr>
      </w:pPr>
      <w:r>
        <w:rPr>
          <w:rFonts w:ascii="Arial" w:cs="Arial" w:eastAsia="Arial" w:hAnsi="Arial"/>
          <w:color w:val="404040"/>
          <w:sz w:val="22"/>
          <w:szCs w:val="22"/>
        </w:rPr>
        <w:t xml:space="preserve">Identifier les informations et les documents a examiner</w:t>
      </w:r>
    </w:p>
    <w:p>
      <w:pPr>
        <w:pStyle w:val="ListParagraph"/>
        <w:numPr>
          <w:ilvl w:val="0"/>
          <w:numId w:val="3"/>
        </w:numPr>
      </w:pPr>
      <w:r>
        <w:rPr>
          <w:rFonts w:ascii="Arial" w:cs="Arial" w:eastAsia="Arial" w:hAnsi="Arial"/>
          <w:color w:val="404040"/>
          <w:sz w:val="22"/>
          <w:szCs w:val="22"/>
        </w:rPr>
        <w:t xml:space="preserve">Planifier les entrevues avec les parties prenantes (propriétaire du système, équipe technique, responsable conformité)</w:t>
      </w:r>
    </w:p>
    <w:p>
      <w:pPr>
        <w:pStyle w:val="Heading2"/>
      </w:pPr>
      <w:r>
        <w:t xml:space="preserve">Phase 2 - Examen documentaire</w:t>
      </w:r>
    </w:p>
    <w:p>
      <w:r>
        <w:rPr>
          <w:rFonts w:ascii="Arial" w:cs="Arial" w:eastAsia="Arial" w:hAnsi="Arial"/>
          <w:color w:val="404040"/>
          <w:sz w:val="22"/>
          <w:szCs w:val="22"/>
        </w:rPr>
        <w:t xml:space="preserve">L'auditeur doit examiner :</w:t>
      </w:r>
    </w:p>
    <w:p>
      <w:pPr>
        <w:pStyle w:val="ListParagraph"/>
        <w:numPr>
          <w:ilvl w:val="0"/>
          <w:numId w:val="3"/>
        </w:numPr>
      </w:pPr>
      <w:r>
        <w:rPr>
          <w:rFonts w:ascii="Arial" w:cs="Arial" w:eastAsia="Arial" w:hAnsi="Arial"/>
          <w:color w:val="404040"/>
          <w:sz w:val="22"/>
          <w:szCs w:val="22"/>
        </w:rPr>
        <w:t xml:space="preserve">Documentation technique (architecture, données, algorithmes, versions)</w:t>
      </w:r>
    </w:p>
    <w:p>
      <w:pPr>
        <w:pStyle w:val="ListParagraph"/>
        <w:numPr>
          <w:ilvl w:val="0"/>
          <w:numId w:val="3"/>
        </w:numPr>
      </w:pPr>
      <w:r>
        <w:rPr>
          <w:rFonts w:ascii="Arial" w:cs="Arial" w:eastAsia="Arial" w:hAnsi="Arial"/>
          <w:color w:val="404040"/>
          <w:sz w:val="22"/>
          <w:szCs w:val="22"/>
        </w:rPr>
        <w:t xml:space="preserve">registre des traitements de données et EIVP / DPIA</w:t>
      </w:r>
    </w:p>
    <w:p>
      <w:pPr>
        <w:pStyle w:val="ListParagraph"/>
        <w:numPr>
          <w:ilvl w:val="0"/>
          <w:numId w:val="3"/>
        </w:numPr>
      </w:pPr>
      <w:r>
        <w:rPr>
          <w:rFonts w:ascii="Arial" w:cs="Arial" w:eastAsia="Arial" w:hAnsi="Arial"/>
          <w:color w:val="404040"/>
          <w:sz w:val="22"/>
          <w:szCs w:val="22"/>
        </w:rPr>
        <w:t xml:space="preserve">registre des décisions automatisees (si applicable)</w:t>
      </w:r>
    </w:p>
    <w:p>
      <w:pPr>
        <w:pStyle w:val="ListParagraph"/>
        <w:numPr>
          <w:ilvl w:val="0"/>
          <w:numId w:val="3"/>
        </w:numPr>
      </w:pPr>
      <w:r>
        <w:rPr>
          <w:rFonts w:ascii="Arial" w:cs="Arial" w:eastAsia="Arial" w:hAnsi="Arial"/>
          <w:color w:val="404040"/>
          <w:sz w:val="22"/>
          <w:szCs w:val="22"/>
        </w:rPr>
        <w:t xml:space="preserve">résultats des tests et évaluations de performance</w:t>
      </w:r>
    </w:p>
    <w:p>
      <w:pPr>
        <w:pStyle w:val="ListParagraph"/>
        <w:numPr>
          <w:ilvl w:val="0"/>
          <w:numId w:val="3"/>
        </w:numPr>
      </w:pPr>
      <w:r>
        <w:rPr>
          <w:rFonts w:ascii="Arial" w:cs="Arial" w:eastAsia="Arial" w:hAnsi="Arial"/>
          <w:color w:val="404040"/>
          <w:sz w:val="22"/>
          <w:szCs w:val="22"/>
        </w:rPr>
        <w:t xml:space="preserve">Incidents et non-conformites anterieures</w:t>
      </w:r>
    </w:p>
    <w:p>
      <w:pPr>
        <w:pStyle w:val="ListParagraph"/>
        <w:numPr>
          <w:ilvl w:val="0"/>
          <w:numId w:val="3"/>
        </w:numPr>
      </w:pPr>
      <w:r>
        <w:rPr>
          <w:rFonts w:ascii="Arial" w:cs="Arial" w:eastAsia="Arial" w:hAnsi="Arial"/>
          <w:color w:val="404040"/>
          <w:sz w:val="22"/>
          <w:szCs w:val="22"/>
        </w:rPr>
        <w:t xml:space="preserve">registre des modifications et des mises a jour</w:t>
      </w:r>
    </w:p>
    <w:p>
      <w:pPr>
        <w:pStyle w:val="Heading2"/>
      </w:pPr>
      <w:r>
        <w:t xml:space="preserve">Phase 3 - Tests techniques</w:t>
      </w:r>
    </w:p>
    <w:p>
      <w:r>
        <w:rPr>
          <w:rFonts w:ascii="Arial" w:cs="Arial" w:eastAsia="Arial" w:hAnsi="Arial"/>
          <w:color w:val="404040"/>
          <w:sz w:val="22"/>
          <w:szCs w:val="22"/>
        </w:rPr>
        <w:t xml:space="preserve">L'auditeur peut realiser :</w:t>
      </w:r>
    </w:p>
    <w:p>
      <w:pPr>
        <w:pStyle w:val="ListParagraph"/>
        <w:numPr>
          <w:ilvl w:val="0"/>
          <w:numId w:val="3"/>
        </w:numPr>
      </w:pPr>
      <w:r>
        <w:rPr>
          <w:rFonts w:ascii="Arial" w:cs="Arial" w:eastAsia="Arial" w:hAnsi="Arial"/>
          <w:color w:val="404040"/>
          <w:sz w:val="22"/>
          <w:szCs w:val="22"/>
        </w:rPr>
        <w:t xml:space="preserve">Tests de performance et de precision</w:t>
      </w:r>
    </w:p>
    <w:p>
      <w:pPr>
        <w:pStyle w:val="ListParagraph"/>
        <w:numPr>
          <w:ilvl w:val="0"/>
          <w:numId w:val="3"/>
        </w:numPr>
      </w:pPr>
      <w:r>
        <w:rPr>
          <w:rFonts w:ascii="Arial" w:cs="Arial" w:eastAsia="Arial" w:hAnsi="Arial"/>
          <w:color w:val="404040"/>
          <w:sz w:val="22"/>
          <w:szCs w:val="22"/>
        </w:rPr>
        <w:t xml:space="preserve">Tests d'equite (performance par groupe de population)</w:t>
      </w:r>
    </w:p>
    <w:p>
      <w:pPr>
        <w:pStyle w:val="ListParagraph"/>
        <w:numPr>
          <w:ilvl w:val="0"/>
          <w:numId w:val="3"/>
        </w:numPr>
      </w:pPr>
      <w:r>
        <w:rPr>
          <w:rFonts w:ascii="Arial" w:cs="Arial" w:eastAsia="Arial" w:hAnsi="Arial"/>
          <w:color w:val="404040"/>
          <w:sz w:val="22"/>
          <w:szCs w:val="22"/>
        </w:rPr>
        <w:t xml:space="preserve">Tests de robustesse (comportement face aux données inattendues)</w:t>
      </w:r>
    </w:p>
    <w:p>
      <w:pPr>
        <w:pStyle w:val="ListParagraph"/>
        <w:numPr>
          <w:ilvl w:val="0"/>
          <w:numId w:val="3"/>
        </w:numPr>
      </w:pPr>
      <w:r>
        <w:rPr>
          <w:rFonts w:ascii="Arial" w:cs="Arial" w:eastAsia="Arial" w:hAnsi="Arial"/>
          <w:color w:val="404040"/>
          <w:sz w:val="22"/>
          <w:szCs w:val="22"/>
        </w:rPr>
        <w:t xml:space="preserve">Tests de sécurité (vulnerabilites, accès non autorisés)</w:t>
      </w:r>
    </w:p>
    <w:p>
      <w:pPr>
        <w:pStyle w:val="ListParagraph"/>
        <w:numPr>
          <w:ilvl w:val="0"/>
          <w:numId w:val="3"/>
        </w:numPr>
      </w:pPr>
      <w:r>
        <w:rPr>
          <w:rFonts w:ascii="Arial" w:cs="Arial" w:eastAsia="Arial" w:hAnsi="Arial"/>
          <w:color w:val="404040"/>
          <w:sz w:val="22"/>
          <w:szCs w:val="22"/>
        </w:rPr>
        <w:t xml:space="preserve">Analyse des données d'entraînement pour les biais</w:t>
      </w:r>
    </w:p>
    <w:p>
      <w:pPr>
        <w:pStyle w:val="Heading2"/>
      </w:pPr>
      <w:r>
        <w:t xml:space="preserve">Phase 4 - Entrevues</w:t>
      </w:r>
    </w:p>
    <w:p>
      <w:r>
        <w:rPr>
          <w:rFonts w:ascii="Arial" w:cs="Arial" w:eastAsia="Arial" w:hAnsi="Arial"/>
          <w:color w:val="404040"/>
          <w:sz w:val="22"/>
          <w:szCs w:val="22"/>
        </w:rPr>
        <w:t xml:space="preserve">L'auditeur doit conduire des entrevues avec :</w:t>
      </w:r>
    </w:p>
    <w:p>
      <w:pPr>
        <w:pStyle w:val="ListParagraph"/>
        <w:numPr>
          <w:ilvl w:val="0"/>
          <w:numId w:val="3"/>
        </w:numPr>
      </w:pPr>
      <w:r>
        <w:rPr>
          <w:rFonts w:ascii="Arial" w:cs="Arial" w:eastAsia="Arial" w:hAnsi="Arial"/>
          <w:color w:val="404040"/>
          <w:sz w:val="22"/>
          <w:szCs w:val="22"/>
        </w:rPr>
        <w:t xml:space="preserve">propriétaire du système (responsable métier)</w:t>
      </w:r>
    </w:p>
    <w:p>
      <w:pPr>
        <w:pStyle w:val="ListParagraph"/>
        <w:numPr>
          <w:ilvl w:val="0"/>
          <w:numId w:val="3"/>
        </w:numPr>
      </w:pPr>
      <w:r>
        <w:rPr>
          <w:rFonts w:ascii="Arial" w:cs="Arial" w:eastAsia="Arial" w:hAnsi="Arial"/>
          <w:color w:val="404040"/>
          <w:sz w:val="22"/>
          <w:szCs w:val="22"/>
        </w:rPr>
        <w:t xml:space="preserve">Equipe technique (data scientists, ingénieur IA, équipe opérations)</w:t>
      </w:r>
    </w:p>
    <w:p>
      <w:pPr>
        <w:pStyle w:val="ListParagraph"/>
        <w:numPr>
          <w:ilvl w:val="0"/>
          <w:numId w:val="3"/>
        </w:numPr>
      </w:pPr>
      <w:r>
        <w:rPr>
          <w:rFonts w:ascii="Arial" w:cs="Arial" w:eastAsia="Arial" w:hAnsi="Arial"/>
          <w:color w:val="404040"/>
          <w:sz w:val="22"/>
          <w:szCs w:val="22"/>
        </w:rPr>
        <w:t xml:space="preserve">responsable de la conformité / DPO</w:t>
      </w:r>
    </w:p>
    <w:p>
      <w:pPr>
        <w:pStyle w:val="ListParagraph"/>
        <w:numPr>
          <w:ilvl w:val="0"/>
          <w:numId w:val="3"/>
        </w:numPr>
      </w:pPr>
      <w:r>
        <w:rPr>
          <w:rFonts w:ascii="Arial" w:cs="Arial" w:eastAsia="Arial" w:hAnsi="Arial"/>
          <w:color w:val="404040"/>
          <w:sz w:val="22"/>
          <w:szCs w:val="22"/>
        </w:rPr>
        <w:t xml:space="preserve">Utilisateurs ou beneficiaires du système</w:t>
      </w:r>
    </w:p>
    <w:p>
      <w:pPr>
        <w:pStyle w:val="Heading2"/>
      </w:pPr>
      <w:r>
        <w:t xml:space="preserve">Phase 5 - Analyse des résultats</w:t>
      </w:r>
    </w:p>
    <w:p>
      <w:r>
        <w:rPr>
          <w:rFonts w:ascii="Arial" w:cs="Arial" w:eastAsia="Arial" w:hAnsi="Arial"/>
          <w:color w:val="404040"/>
          <w:sz w:val="22"/>
          <w:szCs w:val="22"/>
        </w:rPr>
        <w:t xml:space="preserve">L'auditeur doit :</w:t>
      </w:r>
    </w:p>
    <w:p>
      <w:pPr>
        <w:pStyle w:val="ListParagraph"/>
        <w:numPr>
          <w:ilvl w:val="0"/>
          <w:numId w:val="3"/>
        </w:numPr>
      </w:pPr>
      <w:r>
        <w:rPr>
          <w:rFonts w:ascii="Arial" w:cs="Arial" w:eastAsia="Arial" w:hAnsi="Arial"/>
          <w:color w:val="404040"/>
          <w:sz w:val="22"/>
          <w:szCs w:val="22"/>
        </w:rPr>
        <w:t xml:space="preserve">Comparer les evidences collectees contre les criteres du referentiel</w:t>
      </w:r>
    </w:p>
    <w:p>
      <w:pPr>
        <w:pStyle w:val="ListParagraph"/>
        <w:numPr>
          <w:ilvl w:val="0"/>
          <w:numId w:val="3"/>
        </w:numPr>
      </w:pPr>
      <w:r>
        <w:rPr>
          <w:rFonts w:ascii="Arial" w:cs="Arial" w:eastAsia="Arial" w:hAnsi="Arial"/>
          <w:color w:val="404040"/>
          <w:sz w:val="22"/>
          <w:szCs w:val="22"/>
        </w:rPr>
        <w:t xml:space="preserve">Identifier les conformites et les non-conformites</w:t>
      </w:r>
    </w:p>
    <w:p>
      <w:pPr>
        <w:pStyle w:val="ListParagraph"/>
        <w:numPr>
          <w:ilvl w:val="0"/>
          <w:numId w:val="3"/>
        </w:numPr>
      </w:pPr>
      <w:r>
        <w:rPr>
          <w:rFonts w:ascii="Arial" w:cs="Arial" w:eastAsia="Arial" w:hAnsi="Arial"/>
          <w:color w:val="404040"/>
          <w:sz w:val="22"/>
          <w:szCs w:val="22"/>
        </w:rPr>
        <w:t xml:space="preserve">Evaluer la severite de chaque non-conformité (critique, majeure, mineure)</w:t>
      </w:r>
    </w:p>
    <w:p>
      <w:pPr>
        <w:pStyle w:val="ListParagraph"/>
        <w:numPr>
          <w:ilvl w:val="0"/>
          <w:numId w:val="3"/>
        </w:numPr>
      </w:pPr>
      <w:r>
        <w:rPr>
          <w:rFonts w:ascii="Arial" w:cs="Arial" w:eastAsia="Arial" w:hAnsi="Arial"/>
          <w:color w:val="404040"/>
          <w:sz w:val="22"/>
          <w:szCs w:val="22"/>
        </w:rPr>
        <w:t xml:space="preserve">Identier les causes racines des non-conformites</w:t>
      </w:r>
    </w:p>
    <w:p>
      <w:pPr>
        <w:pStyle w:val="ListParagraph"/>
        <w:numPr>
          <w:ilvl w:val="0"/>
          <w:numId w:val="3"/>
        </w:numPr>
      </w:pPr>
      <w:r>
        <w:rPr>
          <w:rFonts w:ascii="Arial" w:cs="Arial" w:eastAsia="Arial" w:hAnsi="Arial"/>
          <w:color w:val="404040"/>
          <w:sz w:val="22"/>
          <w:szCs w:val="22"/>
        </w:rPr>
        <w:t xml:space="preserve">Proposer des recommandations d'amelioration</w:t>
      </w:r>
    </w:p>
    <w:p>
      <w:pPr>
        <w:pStyle w:val="Heading2"/>
      </w:pPr>
      <w:r>
        <w:t xml:space="preserve">Phase 6 - Rapport d'audit</w:t>
      </w:r>
    </w:p>
    <w:p>
      <w:r>
        <w:rPr>
          <w:rFonts w:ascii="Arial" w:cs="Arial" w:eastAsia="Arial" w:hAnsi="Arial"/>
          <w:color w:val="404040"/>
          <w:sz w:val="22"/>
          <w:szCs w:val="22"/>
        </w:rPr>
        <w:t xml:space="preserve">L'auditeur doit produire un rapport documentant (voir document 43) :</w:t>
      </w:r>
    </w:p>
    <w:p>
      <w:pPr>
        <w:pStyle w:val="ListParagraph"/>
        <w:numPr>
          <w:ilvl w:val="0"/>
          <w:numId w:val="3"/>
        </w:numPr>
      </w:pPr>
      <w:r>
        <w:rPr>
          <w:rFonts w:ascii="Arial" w:cs="Arial" w:eastAsia="Arial" w:hAnsi="Arial"/>
          <w:color w:val="404040"/>
          <w:sz w:val="22"/>
          <w:szCs w:val="22"/>
        </w:rPr>
        <w:t xml:space="preserve">Resume executif et conclusions globales</w:t>
      </w:r>
    </w:p>
    <w:p>
      <w:pPr>
        <w:pStyle w:val="ListParagraph"/>
        <w:numPr>
          <w:ilvl w:val="0"/>
          <w:numId w:val="3"/>
        </w:numPr>
      </w:pPr>
      <w:r>
        <w:rPr>
          <w:rFonts w:ascii="Arial" w:cs="Arial" w:eastAsia="Arial" w:hAnsi="Arial"/>
          <w:color w:val="404040"/>
          <w:sz w:val="22"/>
          <w:szCs w:val="22"/>
        </w:rPr>
        <w:t xml:space="preserve">Perimetre et méthodologie de l'audit</w:t>
      </w:r>
    </w:p>
    <w:p>
      <w:pPr>
        <w:pStyle w:val="ListParagraph"/>
        <w:numPr>
          <w:ilvl w:val="0"/>
          <w:numId w:val="3"/>
        </w:numPr>
      </w:pPr>
      <w:r>
        <w:rPr>
          <w:rFonts w:ascii="Arial" w:cs="Arial" w:eastAsia="Arial" w:hAnsi="Arial"/>
          <w:color w:val="404040"/>
          <w:sz w:val="22"/>
          <w:szCs w:val="22"/>
        </w:rPr>
        <w:t xml:space="preserve">Constats (conformites et non-conformites)</w:t>
      </w:r>
    </w:p>
    <w:p>
      <w:pPr>
        <w:pStyle w:val="ListParagraph"/>
        <w:numPr>
          <w:ilvl w:val="0"/>
          <w:numId w:val="3"/>
        </w:numPr>
      </w:pPr>
      <w:r>
        <w:rPr>
          <w:rFonts w:ascii="Arial" w:cs="Arial" w:eastAsia="Arial" w:hAnsi="Arial"/>
          <w:color w:val="404040"/>
          <w:sz w:val="22"/>
          <w:szCs w:val="22"/>
        </w:rPr>
        <w:t xml:space="preserve">Severite des non-conformites et risques associes</w:t>
      </w:r>
    </w:p>
    <w:p>
      <w:pPr>
        <w:pStyle w:val="ListParagraph"/>
        <w:numPr>
          <w:ilvl w:val="0"/>
          <w:numId w:val="3"/>
        </w:numPr>
      </w:pPr>
      <w:r>
        <w:rPr>
          <w:rFonts w:ascii="Arial" w:cs="Arial" w:eastAsia="Arial" w:hAnsi="Arial"/>
          <w:color w:val="404040"/>
          <w:sz w:val="22"/>
          <w:szCs w:val="22"/>
        </w:rPr>
        <w:t xml:space="preserve">Recommandations pour remédiation</w:t>
      </w:r>
    </w:p>
    <w:p>
      <w:pPr>
        <w:pStyle w:val="ListParagraph"/>
        <w:numPr>
          <w:ilvl w:val="0"/>
          <w:numId w:val="3"/>
        </w:numPr>
      </w:pPr>
      <w:r>
        <w:rPr>
          <w:rFonts w:ascii="Arial" w:cs="Arial" w:eastAsia="Arial" w:hAnsi="Arial"/>
          <w:color w:val="404040"/>
          <w:sz w:val="22"/>
          <w:szCs w:val="22"/>
        </w:rPr>
        <w:t xml:space="preserve">Plan d'action (responsable, echeances)</w:t>
      </w:r>
    </w:p>
    <w:p>
      <w:pPr>
        <w:pStyle w:val="Heading1"/>
      </w:pPr>
      <w:r>
        <w:t xml:space="preserve">Suivi des non-conformites</w:t>
      </w:r>
    </w:p>
    <w:p>
      <w:pPr>
        <w:pStyle w:val="Heading2"/>
      </w:pPr>
      <w:r>
        <w:t xml:space="preserve">Classification des non-conformites</w:t>
      </w:r>
    </w:p>
    <w:p>
      <w:r>
        <w:rPr>
          <w:rFonts w:ascii="Arial" w:cs="Arial" w:eastAsia="Arial" w:hAnsi="Arial"/>
          <w:color w:val="404040"/>
          <w:sz w:val="22"/>
          <w:szCs w:val="22"/>
        </w:rPr>
        <w:t xml:space="preserve">Chaque non-conformité est classifiee selon sa severite :</w:t>
      </w:r>
    </w:p>
    <w:p>
      <w:pPr>
        <w:pStyle w:val="ListParagraph"/>
        <w:numPr>
          <w:ilvl w:val="0"/>
          <w:numId w:val="2"/>
        </w:numPr>
      </w:pPr>
      <w:r>
        <w:rPr>
          <w:rFonts w:ascii="Arial" w:cs="Arial" w:eastAsia="Arial" w:hAnsi="Arial"/>
          <w:color w:val="404040"/>
          <w:sz w:val="22"/>
          <w:szCs w:val="22"/>
        </w:rPr>
        <w:t xml:space="preserve">critique : Non-conformité avec risque legal ou opérationnel immediate et élevé. Remediation immmediate requise (&lt; 30 jours). Peut necessiter l'arret du système.</w:t>
      </w:r>
    </w:p>
    <w:p>
      <w:pPr>
        <w:pStyle w:val="ListParagraph"/>
        <w:numPr>
          <w:ilvl w:val="0"/>
          <w:numId w:val="2"/>
        </w:numPr>
      </w:pPr>
      <w:r>
        <w:rPr>
          <w:rFonts w:ascii="Arial" w:cs="Arial" w:eastAsia="Arial" w:hAnsi="Arial"/>
          <w:color w:val="404040"/>
          <w:sz w:val="22"/>
          <w:szCs w:val="22"/>
        </w:rPr>
        <w:t xml:space="preserve">MAJEURE : Non-conformité significative non respectant une exigence importante. Remediation requise dans les 3 mois.</w:t>
      </w:r>
    </w:p>
    <w:p>
      <w:pPr>
        <w:pStyle w:val="ListParagraph"/>
        <w:numPr>
          <w:ilvl w:val="0"/>
          <w:numId w:val="2"/>
        </w:numPr>
      </w:pPr>
      <w:r>
        <w:rPr>
          <w:rFonts w:ascii="Arial" w:cs="Arial" w:eastAsia="Arial" w:hAnsi="Arial"/>
          <w:color w:val="404040"/>
          <w:sz w:val="22"/>
          <w:szCs w:val="22"/>
        </w:rPr>
        <w:t xml:space="preserve">MINEURE : Non-conformité de moindre importance. Remediation requise dans les 6 mois.</w:t>
      </w:r>
    </w:p>
    <w:p>
      <w:pPr>
        <w:pStyle w:val="Heading2"/>
      </w:pPr>
      <w:r>
        <w:t xml:space="preserve">Plan d'action et responsabilités</w:t>
      </w:r>
    </w:p>
    <w:p>
      <w:r>
        <w:rPr>
          <w:rFonts w:ascii="Arial" w:cs="Arial" w:eastAsia="Arial" w:hAnsi="Arial"/>
          <w:color w:val="404040"/>
          <w:sz w:val="22"/>
          <w:szCs w:val="22"/>
        </w:rPr>
        <w:t xml:space="preserve">Pour chaque non-conformité, un plan d'action doit être etabli identifiant :</w:t>
      </w:r>
    </w:p>
    <w:p>
      <w:pPr>
        <w:pStyle w:val="ListParagraph"/>
        <w:numPr>
          <w:ilvl w:val="0"/>
          <w:numId w:val="2"/>
        </w:numPr>
      </w:pPr>
      <w:r>
        <w:rPr>
          <w:rFonts w:ascii="Arial" w:cs="Arial" w:eastAsia="Arial" w:hAnsi="Arial"/>
          <w:color w:val="404040"/>
          <w:sz w:val="22"/>
          <w:szCs w:val="22"/>
        </w:rPr>
        <w:t xml:space="preserve">Description de la non-conformité et cause racine</w:t>
      </w:r>
    </w:p>
    <w:p>
      <w:pPr>
        <w:pStyle w:val="ListParagraph"/>
        <w:numPr>
          <w:ilvl w:val="0"/>
          <w:numId w:val="2"/>
        </w:numPr>
      </w:pPr>
      <w:r>
        <w:rPr>
          <w:rFonts w:ascii="Arial" w:cs="Arial" w:eastAsia="Arial" w:hAnsi="Arial"/>
          <w:color w:val="404040"/>
          <w:sz w:val="22"/>
          <w:szCs w:val="22"/>
        </w:rPr>
        <w:t xml:space="preserve">Action corrective proposee</w:t>
      </w:r>
    </w:p>
    <w:p>
      <w:pPr>
        <w:pStyle w:val="ListParagraph"/>
        <w:numPr>
          <w:ilvl w:val="0"/>
          <w:numId w:val="2"/>
        </w:numPr>
      </w:pPr>
      <w:r>
        <w:rPr>
          <w:rFonts w:ascii="Arial" w:cs="Arial" w:eastAsia="Arial" w:hAnsi="Arial"/>
          <w:color w:val="404040"/>
          <w:sz w:val="22"/>
          <w:szCs w:val="22"/>
        </w:rPr>
        <w:t xml:space="preserve">responsable de l'execution</w:t>
      </w:r>
    </w:p>
    <w:p>
      <w:pPr>
        <w:pStyle w:val="ListParagraph"/>
        <w:numPr>
          <w:ilvl w:val="0"/>
          <w:numId w:val="2"/>
        </w:numPr>
      </w:pPr>
      <w:r>
        <w:rPr>
          <w:rFonts w:ascii="Arial" w:cs="Arial" w:eastAsia="Arial" w:hAnsi="Arial"/>
          <w:color w:val="404040"/>
          <w:sz w:val="22"/>
          <w:szCs w:val="22"/>
        </w:rPr>
        <w:t xml:space="preserve">Ressources requises</w:t>
      </w:r>
    </w:p>
    <w:p>
      <w:pPr>
        <w:pStyle w:val="ListParagraph"/>
        <w:numPr>
          <w:ilvl w:val="0"/>
          <w:numId w:val="2"/>
        </w:numPr>
      </w:pPr>
      <w:r>
        <w:rPr>
          <w:rFonts w:ascii="Arial" w:cs="Arial" w:eastAsia="Arial" w:hAnsi="Arial"/>
          <w:color w:val="404040"/>
          <w:sz w:val="22"/>
          <w:szCs w:val="22"/>
        </w:rPr>
        <w:t xml:space="preserve">Echeance de completion</w:t>
      </w:r>
    </w:p>
    <w:p>
      <w:pPr>
        <w:pStyle w:val="ListParagraph"/>
        <w:numPr>
          <w:ilvl w:val="0"/>
          <w:numId w:val="2"/>
        </w:numPr>
      </w:pPr>
      <w:r>
        <w:rPr>
          <w:rFonts w:ascii="Arial" w:cs="Arial" w:eastAsia="Arial" w:hAnsi="Arial"/>
          <w:color w:val="404040"/>
          <w:sz w:val="22"/>
          <w:szCs w:val="22"/>
        </w:rPr>
        <w:t xml:space="preserve">mesures de verification que la correction a été effective</w:t>
      </w:r>
    </w:p>
    <w:p>
      <w:pPr>
        <w:pStyle w:val="Heading2"/>
      </w:pPr>
      <w:r>
        <w:t xml:space="preserve">Suivi et révaluation</w:t>
      </w:r>
    </w:p>
    <w:p>
      <w:r>
        <w:rPr>
          <w:rFonts w:ascii="Arial" w:cs="Arial" w:eastAsia="Arial" w:hAnsi="Arial"/>
          <w:color w:val="404040"/>
          <w:sz w:val="22"/>
          <w:szCs w:val="22"/>
        </w:rPr>
        <w:t xml:space="preserve">L'auditeur ou un membre de l'équipe de conformité doit :</w:t>
      </w:r>
    </w:p>
    <w:p>
      <w:pPr>
        <w:pStyle w:val="ListParagraph"/>
        <w:numPr>
          <w:ilvl w:val="0"/>
          <w:numId w:val="2"/>
        </w:numPr>
      </w:pPr>
      <w:r>
        <w:rPr>
          <w:rFonts w:ascii="Arial" w:cs="Arial" w:eastAsia="Arial" w:hAnsi="Arial"/>
          <w:color w:val="404040"/>
          <w:sz w:val="22"/>
          <w:szCs w:val="22"/>
        </w:rPr>
        <w:t xml:space="preserve">Suivre mensuellement le statut du plan d'action</w:t>
      </w:r>
    </w:p>
    <w:p>
      <w:pPr>
        <w:pStyle w:val="ListParagraph"/>
        <w:numPr>
          <w:ilvl w:val="0"/>
          <w:numId w:val="2"/>
        </w:numPr>
      </w:pPr>
      <w:r>
        <w:rPr>
          <w:rFonts w:ascii="Arial" w:cs="Arial" w:eastAsia="Arial" w:hAnsi="Arial"/>
          <w:color w:val="404040"/>
          <w:sz w:val="22"/>
          <w:szCs w:val="22"/>
        </w:rPr>
        <w:t xml:space="preserve">Valider que les actions correctives ont été completees</w:t>
      </w:r>
    </w:p>
    <w:p>
      <w:pPr>
        <w:pStyle w:val="ListParagraph"/>
        <w:numPr>
          <w:ilvl w:val="0"/>
          <w:numId w:val="2"/>
        </w:numPr>
      </w:pPr>
      <w:r>
        <w:rPr>
          <w:rFonts w:ascii="Arial" w:cs="Arial" w:eastAsia="Arial" w:hAnsi="Arial"/>
          <w:color w:val="404040"/>
          <w:sz w:val="22"/>
          <w:szCs w:val="22"/>
        </w:rPr>
        <w:t xml:space="preserve">Réévaluer la non-conformité pour confirmer la resolution</w:t>
      </w:r>
    </w:p>
    <w:p>
      <w:pPr>
        <w:pStyle w:val="ListParagraph"/>
        <w:numPr>
          <w:ilvl w:val="0"/>
          <w:numId w:val="2"/>
        </w:numPr>
      </w:pPr>
      <w:r>
        <w:rPr>
          <w:rFonts w:ascii="Arial" w:cs="Arial" w:eastAsia="Arial" w:hAnsi="Arial"/>
          <w:color w:val="404040"/>
          <w:sz w:val="22"/>
          <w:szCs w:val="22"/>
        </w:rPr>
        <w:t xml:space="preserve">Documenter les résultats du suivi</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de l'audit interne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 programme d'audit IA, nomme les auditeurs, approuve les rapports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Auditeur IA interne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Planifie et réalisé les audits IA internes selon le cadre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technique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l'accès aux systèmes et documents, coopere avec les auditeurs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Assiste les auditeurs, coordonne le suivi des non-conformites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1 - Definition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Finaliser le cadre et le referentiel d'audit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2 -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auditeurs internes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3 -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Planifier le programme d'audit annuel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4 - Realisation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Realiser les audits selon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Étape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Suivre la remédiation des non-conformites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cadre d'audit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2026-03-05T02:24:49.768Z</dcterms:created>
  <dcterms:modified xsi:type="dcterms:W3CDTF">2026-03-05T02:24:49.768Z</dcterms:modified>
</cp:coreProperties>
</file>

<file path=docProps/custom.xml><?xml version="1.0" encoding="utf-8"?>
<Properties xmlns="http://schemas.openxmlformats.org/officeDocument/2006/custom-properties" xmlns:vt="http://schemas.openxmlformats.org/officeDocument/2006/docPropsVTypes"/>
</file>