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d'approvisionnement en solutions IA</w:t>
      </w:r>
    </w:p>
    <w:p>
      <w:pPr>
        <w:spacing w:after="600"/>
        <w:jc w:val="center"/>
      </w:pPr>
      <w:r>
        <w:rPr>
          <w:rFonts w:ascii="Arial" w:cs="Arial" w:eastAsia="Arial" w:hAnsi="Arial"/>
          <w:color w:val="2E75B6"/>
          <w:sz w:val="24"/>
          <w:szCs w:val="24"/>
        </w:rPr>
        <w:t xml:space="preserve">Critères d'évaluation, processus d'acquisition et gouvernance des achats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Objectif et périmètre</w:t>
      </w:r>
    </w:p>
    <w:p>
      <w:r>
        <w:rPr>
          <w:rFonts w:ascii="Arial" w:cs="Arial" w:eastAsia="Arial" w:hAnsi="Arial"/>
          <w:color w:val="404040"/>
          <w:sz w:val="22"/>
          <w:szCs w:val="22"/>
        </w:rPr>
        <w:t xml:space="preserve">La présente politique définit le cadre et les principes directeurs de l'approvisionnement en solutions d'intelligence artificielle pour [NOM_ORGANISATION]. Elle s'applique a tous les projets et achats d'applications, de services ou de composants IA, qu'ils soient développés en interne ou acquis auprès de fournisseurs externes.</w:t>
      </w:r>
    </w:p>
    <w:p>
      <w:pPr>
        <w:pStyle w:val="Heading2"/>
      </w:pPr>
      <w:r>
        <w:t xml:space="preserve">Objectifs principaux</w:t>
      </w:r>
    </w:p>
    <w:p>
      <w:pPr>
        <w:pStyle w:val="ListParagraph"/>
        <w:numPr>
          <w:ilvl w:val="0"/>
          <w:numId w:val="2"/>
        </w:numPr>
      </w:pPr>
      <w:r>
        <w:rPr>
          <w:rFonts w:ascii="Arial" w:cs="Arial" w:eastAsia="Arial" w:hAnsi="Arial"/>
          <w:color w:val="404040"/>
          <w:sz w:val="22"/>
          <w:szCs w:val="22"/>
        </w:rPr>
        <w:t xml:space="preserve">Assurer que toute solution IA intégrée dans l'organisation satisfait aux normes de qualite, de sécurité et de conformité réglementaire</w:t>
      </w:r>
    </w:p>
    <w:p>
      <w:pPr>
        <w:pStyle w:val="ListParagraph"/>
        <w:numPr>
          <w:ilvl w:val="0"/>
          <w:numId w:val="2"/>
        </w:numPr>
      </w:pPr>
      <w:r>
        <w:rPr>
          <w:rFonts w:ascii="Arial" w:cs="Arial" w:eastAsia="Arial" w:hAnsi="Arial"/>
          <w:color w:val="404040"/>
          <w:sz w:val="22"/>
          <w:szCs w:val="22"/>
        </w:rPr>
        <w:t xml:space="preserve">Évaluer les risques éthiques, juridiques et opérationnels associés aux solutions IA avant leur adoption</w:t>
      </w:r>
    </w:p>
    <w:p>
      <w:pPr>
        <w:pStyle w:val="ListParagraph"/>
        <w:numPr>
          <w:ilvl w:val="0"/>
          <w:numId w:val="2"/>
        </w:numPr>
      </w:pPr>
      <w:r>
        <w:rPr>
          <w:rFonts w:ascii="Arial" w:cs="Arial" w:eastAsia="Arial" w:hAnsi="Arial"/>
          <w:color w:val="404040"/>
          <w:sz w:val="22"/>
          <w:szCs w:val="22"/>
        </w:rPr>
        <w:t xml:space="preserve">Établir un processus transparent et équitable d'évaluation et de sélection des fournisseurs</w:t>
      </w:r>
    </w:p>
    <w:p>
      <w:pPr>
        <w:pStyle w:val="ListParagraph"/>
        <w:numPr>
          <w:ilvl w:val="0"/>
          <w:numId w:val="2"/>
        </w:numPr>
      </w:pPr>
      <w:r>
        <w:rPr>
          <w:rFonts w:ascii="Arial" w:cs="Arial" w:eastAsia="Arial" w:hAnsi="Arial"/>
          <w:color w:val="404040"/>
          <w:sz w:val="22"/>
          <w:szCs w:val="22"/>
        </w:rPr>
        <w:t xml:space="preserve">Garantir une gouvernance efficace des achats IA et une gestion des dépendances vis-à-vis des fournisseurs</w:t>
      </w:r>
    </w:p>
    <w:p>
      <w:pPr>
        <w:pStyle w:val="ListParagraph"/>
        <w:numPr>
          <w:ilvl w:val="0"/>
          <w:numId w:val="2"/>
        </w:numPr>
      </w:pPr>
      <w:r>
        <w:rPr>
          <w:rFonts w:ascii="Arial" w:cs="Arial" w:eastAsia="Arial" w:hAnsi="Arial"/>
          <w:color w:val="404040"/>
          <w:sz w:val="22"/>
          <w:szCs w:val="22"/>
        </w:rPr>
        <w:t xml:space="preserve">Aligner les acquisitions IA avec la strategie globale de gouvernance IA de l'organisation</w:t>
      </w:r>
    </w:p>
    <w:p>
      <w:pPr>
        <w:pStyle w:val="Heading2"/>
      </w:pPr>
      <w:r>
        <w:t xml:space="preserve">Perimetre d'application</w:t>
      </w:r>
    </w:p>
    <w:p>
      <w:pPr>
        <w:pStyle w:val="ListParagraph"/>
        <w:numPr>
          <w:ilvl w:val="0"/>
          <w:numId w:val="2"/>
        </w:numPr>
      </w:pPr>
      <w:r>
        <w:rPr>
          <w:rFonts w:ascii="Arial" w:cs="Arial" w:eastAsia="Arial" w:hAnsi="Arial"/>
          <w:color w:val="404040"/>
          <w:sz w:val="22"/>
          <w:szCs w:val="22"/>
        </w:rPr>
        <w:t xml:space="preserve">Systemes d'IA generatifs (LLM, generateurs d'images, etc.)</w:t>
      </w:r>
    </w:p>
    <w:p>
      <w:pPr>
        <w:pStyle w:val="ListParagraph"/>
        <w:numPr>
          <w:ilvl w:val="0"/>
          <w:numId w:val="2"/>
        </w:numPr>
      </w:pPr>
      <w:r>
        <w:rPr>
          <w:rFonts w:ascii="Arial" w:cs="Arial" w:eastAsia="Arial" w:hAnsi="Arial"/>
          <w:color w:val="404040"/>
          <w:sz w:val="22"/>
          <w:szCs w:val="22"/>
        </w:rPr>
        <w:t xml:space="preserve">Solutions d'IA specialisees (reconnaissance, prediction, classification)</w:t>
      </w:r>
    </w:p>
    <w:p>
      <w:pPr>
        <w:pStyle w:val="ListParagraph"/>
        <w:numPr>
          <w:ilvl w:val="0"/>
          <w:numId w:val="2"/>
        </w:numPr>
      </w:pPr>
      <w:r>
        <w:rPr>
          <w:rFonts w:ascii="Arial" w:cs="Arial" w:eastAsia="Arial" w:hAnsi="Arial"/>
          <w:color w:val="404040"/>
          <w:sz w:val="22"/>
          <w:szCs w:val="22"/>
        </w:rPr>
        <w:t xml:space="preserve">Plateformes d'IA managees (SaaS, PaaS, IaaS IA)</w:t>
      </w:r>
    </w:p>
    <w:p>
      <w:pPr>
        <w:pStyle w:val="ListParagraph"/>
        <w:numPr>
          <w:ilvl w:val="0"/>
          <w:numId w:val="2"/>
        </w:numPr>
      </w:pPr>
      <w:r>
        <w:rPr>
          <w:rFonts w:ascii="Arial" w:cs="Arial" w:eastAsia="Arial" w:hAnsi="Arial"/>
          <w:color w:val="404040"/>
          <w:sz w:val="22"/>
          <w:szCs w:val="22"/>
        </w:rPr>
        <w:t xml:space="preserve">Données d'entrainement et modeles pre-entraines acquis auprès de tiers</w:t>
      </w:r>
    </w:p>
    <w:p>
      <w:pPr>
        <w:pStyle w:val="ListParagraph"/>
        <w:numPr>
          <w:ilvl w:val="0"/>
          <w:numId w:val="2"/>
        </w:numPr>
      </w:pPr>
      <w:r>
        <w:rPr>
          <w:rFonts w:ascii="Arial" w:cs="Arial" w:eastAsia="Arial" w:hAnsi="Arial"/>
          <w:color w:val="404040"/>
          <w:sz w:val="22"/>
          <w:szCs w:val="22"/>
        </w:rPr>
        <w:t xml:space="preserve">Services connexes (intégration, consultation, formation, support)</w:t>
      </w:r>
    </w:p>
    <w:p>
      <w:r>
        <w:br w:type="page"/>
      </w:r>
    </w:p>
    <w:p>
      <w:pPr>
        <w:pStyle w:val="Heading1"/>
      </w:pPr>
      <w:r>
        <w:t xml:space="preserve">Cadre de référence et cadre juridique</w:t>
      </w:r>
    </w:p>
    <w:p>
      <w:r>
        <w:rPr>
          <w:rFonts w:ascii="Arial" w:cs="Arial" w:eastAsia="Arial" w:hAnsi="Arial"/>
          <w:color w:val="404040"/>
          <w:sz w:val="22"/>
          <w:szCs w:val="22"/>
        </w:rPr>
        <w:t xml:space="preserve">La présent politique s'inscrit dans le cadre suiva :</w:t>
      </w:r>
    </w:p>
    <w:p>
      <w:pPr>
        <w:pStyle w:val="Heading2"/>
      </w:pPr>
      <w:r>
        <w:t xml:space="preserve">Normes et standards</w:t>
      </w:r>
    </w:p>
    <w:p>
      <w:pPr>
        <w:pStyle w:val="ListParagraph"/>
        <w:numPr>
          <w:ilvl w:val="0"/>
          <w:numId w:val="2"/>
        </w:numPr>
      </w:pPr>
      <w:r>
        <w:rPr>
          <w:rFonts w:ascii="Arial" w:cs="Arial" w:eastAsia="Arial" w:hAnsi="Arial"/>
          <w:color w:val="404040"/>
          <w:sz w:val="22"/>
          <w:szCs w:val="22"/>
        </w:rPr>
        <w:t xml:space="preserve">ISO/IEC 42001:2023 - Systeme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lies a l'IA</w:t>
      </w:r>
    </w:p>
    <w:p>
      <w:pPr>
        <w:pStyle w:val="ListParagraph"/>
        <w:numPr>
          <w:ilvl w:val="0"/>
          <w:numId w:val="2"/>
        </w:numPr>
      </w:pPr>
      <w:r>
        <w:rPr>
          <w:rFonts w:ascii="Arial" w:cs="Arial" w:eastAsia="Arial" w:hAnsi="Arial"/>
          <w:color w:val="404040"/>
          <w:sz w:val="22"/>
          <w:szCs w:val="22"/>
        </w:rPr>
        <w:t xml:space="preserve">NIST AI Risk Management Framework</w:t>
      </w:r>
    </w:p>
    <w:p>
      <w:pPr>
        <w:pStyle w:val="ListParagraph"/>
        <w:numPr>
          <w:ilvl w:val="0"/>
          <w:numId w:val="2"/>
        </w:numPr>
      </w:pPr>
      <w:r>
        <w:rPr>
          <w:rFonts w:ascii="Arial" w:cs="Arial" w:eastAsia="Arial" w:hAnsi="Arial"/>
          <w:color w:val="404040"/>
          <w:sz w:val="22"/>
          <w:szCs w:val="22"/>
        </w:rPr>
        <w:t xml:space="preserve">Normes de sécurité informatique (ISO/IEC 27001, NIST Cybersecurity Framework)</w:t>
      </w:r>
    </w:p>
    <w:p>
      <w:pPr>
        <w:pStyle w:val="Heading2"/>
      </w:pPr>
      <w:r>
        <w:t xml:space="preserve">Cadre juridique québécois et canadien</w:t>
      </w:r>
    </w:p>
    <w:p>
      <w:pPr>
        <w:pStyle w:val="ListParagraph"/>
        <w:numPr>
          <w:ilvl w:val="0"/>
          <w:numId w:val="2"/>
        </w:numPr>
      </w:pPr>
      <w:r>
        <w:rPr>
          <w:rFonts w:ascii="Arial" w:cs="Arial" w:eastAsia="Arial" w:hAnsi="Arial"/>
          <w:color w:val="404040"/>
          <w:sz w:val="22"/>
          <w:szCs w:val="22"/>
        </w:rPr>
        <w:t xml:space="preserve">Loi 25 - Protection des renseignements personnels (Quebec)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(Canada)</w:t>
      </w:r>
    </w:p>
    <w:p>
      <w:pPr>
        <w:pStyle w:val="ListParagraph"/>
        <w:numPr>
          <w:ilvl w:val="0"/>
          <w:numId w:val="2"/>
        </w:numPr>
      </w:pPr>
      <w:r>
        <w:rPr>
          <w:rFonts w:ascii="Arial" w:cs="Arial" w:eastAsia="Arial" w:hAnsi="Arial"/>
          <w:color w:val="404040"/>
          <w:sz w:val="22"/>
          <w:szCs w:val="22"/>
        </w:rPr>
        <w:t xml:space="preserve">Charte des droits et libertés de la personne du Quebec</w:t>
      </w:r>
    </w:p>
    <w:p>
      <w:pPr>
        <w:pStyle w:val="ListParagraph"/>
        <w:numPr>
          <w:ilvl w:val="0"/>
          <w:numId w:val="2"/>
        </w:numPr>
      </w:pPr>
      <w:r>
        <w:rPr>
          <w:rFonts w:ascii="Arial" w:cs="Arial" w:eastAsia="Arial" w:hAnsi="Arial"/>
          <w:color w:val="404040"/>
          <w:sz w:val="22"/>
          <w:szCs w:val="22"/>
        </w:rPr>
        <w:t xml:space="preserve">Code civil du Quebec - Responsabilité civile et contrats</w:t>
      </w:r>
    </w:p>
    <w:p>
      <w:pPr>
        <w:pStyle w:val="ListParagraph"/>
        <w:numPr>
          <w:ilvl w:val="0"/>
          <w:numId w:val="2"/>
        </w:numPr>
      </w:pPr>
      <w:r>
        <w:rPr>
          <w:rFonts w:ascii="Arial" w:cs="Arial" w:eastAsia="Arial" w:hAnsi="Arial"/>
          <w:color w:val="404040"/>
          <w:sz w:val="22"/>
          <w:szCs w:val="22"/>
        </w:rPr>
        <w:t xml:space="preserve">Loi sur la protection des consommateurs (Quebec)</w:t>
      </w:r>
    </w:p>
    <w:p>
      <w:pPr>
        <w:pStyle w:val="Heading2"/>
      </w:pPr>
      <w:r>
        <w:t xml:space="preserve">Standards sectoriels applicables</w:t>
      </w:r>
    </w:p>
    <w:p>
      <w:r>
        <w:rPr>
          <w:rFonts w:ascii="Arial" w:cs="Arial" w:eastAsia="Arial" w:hAnsi="Arial"/>
          <w:color w:val="404040"/>
          <w:sz w:val="22"/>
          <w:szCs w:val="22"/>
        </w:rPr>
        <w:t xml:space="preserve">Selon le secteur d'activité de [NOM_ORGANISATION], des standards spécifiques peuvent s'appliquer :</w:t>
      </w:r>
    </w:p>
    <w:p>
      <w:pPr>
        <w:pStyle w:val="ListParagraph"/>
        <w:numPr>
          <w:ilvl w:val="0"/>
          <w:numId w:val="2"/>
        </w:numPr>
      </w:pPr>
      <w:r>
        <w:rPr>
          <w:rFonts w:ascii="Arial" w:cs="Arial" w:eastAsia="Arial" w:hAnsi="Arial"/>
          <w:color w:val="404040"/>
          <w:sz w:val="22"/>
          <w:szCs w:val="22"/>
        </w:rPr>
        <w:t xml:space="preserve">[SECTEUR_ACTIVITE]: [NORMES_SPECIFIQUES]</w:t>
      </w:r>
    </w:p>
    <w:p>
      <w:pPr>
        <w:pStyle w:val="ListParagraph"/>
        <w:numPr>
          <w:ilvl w:val="0"/>
          <w:numId w:val="2"/>
        </w:numPr>
      </w:pPr>
      <w:r>
        <w:rPr>
          <w:rFonts w:ascii="Arial" w:cs="Arial" w:eastAsia="Arial" w:hAnsi="Arial"/>
          <w:color w:val="404040"/>
          <w:sz w:val="22"/>
          <w:szCs w:val="22"/>
        </w:rPr>
        <w:t xml:space="preserve">Finance: OSFI Guidelines, PIPEDA compliance</w:t>
      </w:r>
    </w:p>
    <w:p>
      <w:pPr>
        <w:pStyle w:val="ListParagraph"/>
        <w:numPr>
          <w:ilvl w:val="0"/>
          <w:numId w:val="2"/>
        </w:numPr>
      </w:pPr>
      <w:r>
        <w:rPr>
          <w:rFonts w:ascii="Arial" w:cs="Arial" w:eastAsia="Arial" w:hAnsi="Arial"/>
          <w:color w:val="404040"/>
          <w:sz w:val="22"/>
          <w:szCs w:val="22"/>
        </w:rPr>
        <w:t xml:space="preserve">Sante: PIPEDA, lois provinciales sur la confidentialité médicale</w:t>
      </w:r>
    </w:p>
    <w:p>
      <w:pPr>
        <w:pStyle w:val="ListParagraph"/>
        <w:numPr>
          <w:ilvl w:val="0"/>
          <w:numId w:val="2"/>
        </w:numPr>
      </w:pPr>
      <w:r>
        <w:rPr>
          <w:rFonts w:ascii="Arial" w:cs="Arial" w:eastAsia="Arial" w:hAnsi="Arial"/>
          <w:color w:val="404040"/>
          <w:sz w:val="22"/>
          <w:szCs w:val="22"/>
        </w:rPr>
        <w:t xml:space="preserve">Services publics: Directives gouvernementales, obligations de transparence</w:t>
      </w:r>
    </w:p>
    <w:p>
      <w:r>
        <w:br w:type="page"/>
      </w:r>
    </w:p>
    <w:p>
      <w:pPr>
        <w:pStyle w:val="Heading1"/>
      </w:pPr>
      <w:r>
        <w:t xml:space="preserve">Critères d'évaluation des solutions IA</w:t>
      </w:r>
    </w:p>
    <w:p>
      <w:pPr>
        <w:pStyle w:val="Heading2"/>
      </w:pPr>
      <w:r>
        <w:t xml:space="preserve">Évaluation technique et de performance</w:t>
      </w:r>
    </w:p>
    <w:p>
      <w:r>
        <w:rPr>
          <w:rFonts w:ascii="Arial" w:cs="Arial" w:eastAsia="Arial" w:hAnsi="Arial"/>
          <w:color w:val="404040"/>
          <w:sz w:val="22"/>
          <w:szCs w:val="22"/>
        </w:rPr>
        <w:t xml:space="preserve">Tout fournisseur ou solution doit répondre aux critères techniques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Critère</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Norme minimale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Efficacité fonctionnelle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 solution répond aux spécifications fonctionnelles définies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[SPECIFICATION_DETAILLEE]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Précision et fiabilité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Précision/taux d'erreur acceptables pour le cas d'usage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[SEUIL_ACCEPTABILITE]%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et latence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de réponse compatible avec les besoins opérationnels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[TEMPS_REPONSE_MS]ms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Scalabilité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a supporter une croissance de volume de données/utilisateurs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Verifie par test de charge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Interopérabilité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Intégration compatible avec l'écosystème technologique existant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APIs standards, documentation complète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Maintenance et support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Disponibilité de mises a jour, patches, support technique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SLA &gt;= [HEURES_SUPPORT]h/jour</w:t>
            </w:r>
          </w:p>
        </w:tc>
      </w:tr>
    </w:tbl>
    <w:p>
      <w:pPr>
        <w:pStyle w:val="Heading2"/>
      </w:pPr>
      <w:r>
        <w:t xml:space="preserve">Évaluation de conformité et réglementaire</w:t>
      </w:r>
    </w:p>
    <w:p>
      <w:r>
        <w:rPr>
          <w:rFonts w:ascii="Arial" w:cs="Arial" w:eastAsia="Arial" w:hAnsi="Arial"/>
          <w:color w:val="404040"/>
          <w:sz w:val="22"/>
          <w:szCs w:val="22"/>
        </w:rPr>
        <w:t xml:space="preserve">Les solutions IA doivent être conformes aux exigences légales et réglementaires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Domaine</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Exigences</w:t>
            </w:r>
          </w:p>
        </w:tc>
        <w:tc>
          <w:tcPr>
            <w:tcW w:type="dxa" w:w="3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Vérification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Protection des données personnelles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Respecter Loi 25, PIPEDA, EU RGPD si applicable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conformité, accord de traitement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Localisation des données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Spécifié si les données doivent rester au Canada/Quebec</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Certification fournisseur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Rétention des données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Politique claire de rétention et suppression</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Contrat IA avec clauses spécifiques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Transfert international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Autorisations/déclarations pour transfert de données hors Canada</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Adéquation juridique confirmée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Accès et contrôle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[NOM_ORGANISATION] conserve accès et contrôle des données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Clauses contractuelles de réversibilité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Information sur algorithmes, biais, limites de la solution</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rapports de biais</w:t>
            </w:r>
          </w:p>
        </w:tc>
      </w:tr>
    </w:tbl>
    <w:p>
      <w:pPr>
        <w:pStyle w:val="Heading2"/>
      </w:pPr>
      <w:r>
        <w:t xml:space="preserve">Évaluation éthique et responsabilité</w:t>
      </w:r>
    </w:p>
    <w:p>
      <w:r>
        <w:rPr>
          <w:rFonts w:ascii="Arial" w:cs="Arial" w:eastAsia="Arial" w:hAnsi="Arial"/>
          <w:color w:val="404040"/>
          <w:sz w:val="22"/>
          <w:szCs w:val="22"/>
        </w:rPr>
        <w:t xml:space="preserve">La solution doit être évaluée selon les principes éthiques de l'organisation :</w:t>
      </w:r>
    </w:p>
    <w:p>
      <w:pPr>
        <w:pStyle w:val="ListParagraph"/>
        <w:numPr>
          <w:ilvl w:val="0"/>
          <w:numId w:val="2"/>
        </w:numPr>
      </w:pPr>
      <w:r>
        <w:rPr>
          <w:rFonts w:ascii="Arial" w:cs="Arial" w:eastAsia="Arial" w:hAnsi="Arial"/>
          <w:color w:val="404040"/>
          <w:sz w:val="22"/>
          <w:szCs w:val="22"/>
        </w:rPr>
        <w:t xml:space="preserve">Absence de discrimination: La solution ne doit pas discriminer sur base de caractéristiques protégées (genre, origine, âge, etc.)</w:t>
      </w:r>
    </w:p>
    <w:p>
      <w:pPr>
        <w:pStyle w:val="ListParagraph"/>
        <w:numPr>
          <w:ilvl w:val="0"/>
          <w:numId w:val="2"/>
        </w:numPr>
      </w:pPr>
      <w:r>
        <w:rPr>
          <w:rFonts w:ascii="Arial" w:cs="Arial" w:eastAsia="Arial" w:hAnsi="Arial"/>
          <w:color w:val="404040"/>
          <w:sz w:val="22"/>
          <w:szCs w:val="22"/>
        </w:rPr>
        <w:t xml:space="preserve">Explcabilite: Les decisions de la solution doivent être expliquables et justifiables</w:t>
      </w:r>
    </w:p>
    <w:p>
      <w:pPr>
        <w:pStyle w:val="ListParagraph"/>
        <w:numPr>
          <w:ilvl w:val="0"/>
          <w:numId w:val="2"/>
        </w:numPr>
      </w:pPr>
      <w:r>
        <w:rPr>
          <w:rFonts w:ascii="Arial" w:cs="Arial" w:eastAsia="Arial" w:hAnsi="Arial"/>
          <w:color w:val="404040"/>
          <w:sz w:val="22"/>
          <w:szCs w:val="22"/>
        </w:rPr>
        <w:t xml:space="preserve">Responsabilité: Mecanismes de surveillance et d'intervention pour detecter et corriger les defaillances</w:t>
      </w:r>
    </w:p>
    <w:p>
      <w:pPr>
        <w:pStyle w:val="ListParagraph"/>
        <w:numPr>
          <w:ilvl w:val="0"/>
          <w:numId w:val="2"/>
        </w:numPr>
      </w:pPr>
      <w:r>
        <w:rPr>
          <w:rFonts w:ascii="Arial" w:cs="Arial" w:eastAsia="Arial" w:hAnsi="Arial"/>
          <w:color w:val="404040"/>
          <w:sz w:val="22"/>
          <w:szCs w:val="22"/>
        </w:rPr>
        <w:t xml:space="preserve">Impact social: La solution ne doit pas causer de prejudices non acceptables aux utilisateurs ou a la societe</w:t>
      </w:r>
    </w:p>
    <w:p>
      <w:pPr>
        <w:pStyle w:val="ListParagraph"/>
        <w:numPr>
          <w:ilvl w:val="0"/>
          <w:numId w:val="2"/>
        </w:numPr>
      </w:pPr>
      <w:r>
        <w:rPr>
          <w:rFonts w:ascii="Arial" w:cs="Arial" w:eastAsia="Arial" w:hAnsi="Arial"/>
          <w:color w:val="404040"/>
          <w:sz w:val="22"/>
          <w:szCs w:val="22"/>
        </w:rPr>
        <w:t xml:space="preserve">Equite des données: Les données d'entrainement ne doivent pas être biaisees</w:t>
      </w:r>
    </w:p>
    <w:p>
      <w:pPr>
        <w:pStyle w:val="Heading2"/>
      </w:pPr>
      <w:r>
        <w:t xml:space="preserve">Évaluation de sécurité</w:t>
      </w:r>
    </w:p>
    <w:p>
      <w:r>
        <w:rPr>
          <w:rFonts w:ascii="Arial" w:cs="Arial" w:eastAsia="Arial" w:hAnsi="Arial"/>
          <w:color w:val="404040"/>
          <w:sz w:val="22"/>
          <w:szCs w:val="22"/>
        </w:rPr>
        <w:t xml:space="preserve">Exigences de sécurité informatique et de protection des données :</w:t>
      </w:r>
    </w:p>
    <w:p>
      <w:pPr>
        <w:pStyle w:val="ListParagraph"/>
        <w:numPr>
          <w:ilvl w:val="0"/>
          <w:numId w:val="2"/>
        </w:numPr>
      </w:pPr>
      <w:r>
        <w:rPr>
          <w:rFonts w:ascii="Arial" w:cs="Arial" w:eastAsia="Arial" w:hAnsi="Arial"/>
          <w:color w:val="404040"/>
          <w:sz w:val="22"/>
          <w:szCs w:val="22"/>
        </w:rPr>
        <w:t xml:space="preserve">Chiffrement: Données en transit et au repos doivent être chiffrees (AES-256 ou equivalent)</w:t>
      </w:r>
    </w:p>
    <w:p>
      <w:pPr>
        <w:pStyle w:val="ListParagraph"/>
        <w:numPr>
          <w:ilvl w:val="0"/>
          <w:numId w:val="2"/>
        </w:numPr>
      </w:pPr>
      <w:r>
        <w:rPr>
          <w:rFonts w:ascii="Arial" w:cs="Arial" w:eastAsia="Arial" w:hAnsi="Arial"/>
          <w:color w:val="404040"/>
          <w:sz w:val="22"/>
          <w:szCs w:val="22"/>
        </w:rPr>
        <w:t xml:space="preserve">Authentification: Authentification multi-facteurs pour accès administrateur</w:t>
      </w:r>
    </w:p>
    <w:p>
      <w:pPr>
        <w:pStyle w:val="ListParagraph"/>
        <w:numPr>
          <w:ilvl w:val="0"/>
          <w:numId w:val="2"/>
        </w:numPr>
      </w:pPr>
      <w:r>
        <w:rPr>
          <w:rFonts w:ascii="Arial" w:cs="Arial" w:eastAsia="Arial" w:hAnsi="Arial"/>
          <w:color w:val="404040"/>
          <w:sz w:val="22"/>
          <w:szCs w:val="22"/>
        </w:rPr>
        <w:t xml:space="preserve">Audit et journalisation: Tous les accès et modifications doivent être enregistres</w:t>
      </w:r>
    </w:p>
    <w:p>
      <w:pPr>
        <w:pStyle w:val="ListParagraph"/>
        <w:numPr>
          <w:ilvl w:val="0"/>
          <w:numId w:val="2"/>
        </w:numPr>
      </w:pPr>
      <w:r>
        <w:rPr>
          <w:rFonts w:ascii="Arial" w:cs="Arial" w:eastAsia="Arial" w:hAnsi="Arial"/>
          <w:color w:val="404040"/>
          <w:sz w:val="22"/>
          <w:szCs w:val="22"/>
        </w:rPr>
        <w:t xml:space="preserve">Gestion des vulnerabilites: Processus de divulgation responsable et correction rapide</w:t>
      </w:r>
    </w:p>
    <w:p>
      <w:pPr>
        <w:pStyle w:val="ListParagraph"/>
        <w:numPr>
          <w:ilvl w:val="0"/>
          <w:numId w:val="2"/>
        </w:numPr>
      </w:pPr>
      <w:r>
        <w:rPr>
          <w:rFonts w:ascii="Arial" w:cs="Arial" w:eastAsia="Arial" w:hAnsi="Arial"/>
          <w:color w:val="404040"/>
          <w:sz w:val="22"/>
          <w:szCs w:val="22"/>
        </w:rPr>
        <w:t xml:space="preserve">Isolement des ressources: Solutions isolees ou segmentees du reseau principal selon criticite</w:t>
      </w:r>
    </w:p>
    <w:p>
      <w:pPr>
        <w:pStyle w:val="ListParagraph"/>
        <w:numPr>
          <w:ilvl w:val="0"/>
          <w:numId w:val="2"/>
        </w:numPr>
      </w:pPr>
      <w:r>
        <w:rPr>
          <w:rFonts w:ascii="Arial" w:cs="Arial" w:eastAsia="Arial" w:hAnsi="Arial"/>
          <w:color w:val="404040"/>
          <w:sz w:val="22"/>
          <w:szCs w:val="22"/>
        </w:rPr>
        <w:t xml:space="preserve">Certificats de sécurité: ISO/IEC 27001 ou equivalent</w:t>
      </w:r>
    </w:p>
    <w:p>
      <w:r>
        <w:br w:type="page"/>
      </w:r>
    </w:p>
    <w:p>
      <w:pPr>
        <w:pStyle w:val="Heading1"/>
      </w:pPr>
      <w:r>
        <w:t xml:space="preserve">Processus d'acquisition et appel d'offres</w:t>
      </w:r>
    </w:p>
    <w:p>
      <w:pPr>
        <w:pStyle w:val="Heading2"/>
      </w:pPr>
      <w:r>
        <w:t xml:space="preserve">Étapes du processus</w:t>
      </w:r>
    </w:p>
    <w:p>
      <w:pPr>
        <w:pStyle w:val="ListParagraph"/>
        <w:numPr>
          <w:ilvl w:val="0"/>
          <w:numId w:val="3"/>
        </w:numPr>
      </w:pPr>
      <w:r>
        <w:rPr>
          <w:rFonts w:ascii="Arial" w:cs="Arial" w:eastAsia="Arial" w:hAnsi="Arial"/>
          <w:color w:val="404040"/>
          <w:sz w:val="22"/>
          <w:szCs w:val="22"/>
        </w:rPr>
        <w:t xml:space="preserve">Definition des besoins: Documentation precise des spécifications fonctionnelles et non-fonctionnelles</w:t>
      </w:r>
    </w:p>
    <w:p>
      <w:pPr>
        <w:pStyle w:val="ListParagraph"/>
        <w:numPr>
          <w:ilvl w:val="0"/>
          <w:numId w:val="3"/>
        </w:numPr>
      </w:pPr>
      <w:r>
        <w:rPr>
          <w:rFonts w:ascii="Arial" w:cs="Arial" w:eastAsia="Arial" w:hAnsi="Arial"/>
          <w:color w:val="404040"/>
          <w:sz w:val="22"/>
          <w:szCs w:val="22"/>
        </w:rPr>
        <w:t xml:space="preserve">Évaluation preliminaire: Vérification rapide que les solutions candidates repondent aux critères minimaux</w:t>
      </w:r>
    </w:p>
    <w:p>
      <w:pPr>
        <w:pStyle w:val="ListParagraph"/>
        <w:numPr>
          <w:ilvl w:val="0"/>
          <w:numId w:val="3"/>
        </w:numPr>
      </w:pPr>
      <w:r>
        <w:rPr>
          <w:rFonts w:ascii="Arial" w:cs="Arial" w:eastAsia="Arial" w:hAnsi="Arial"/>
          <w:color w:val="404040"/>
          <w:sz w:val="22"/>
          <w:szCs w:val="22"/>
        </w:rPr>
        <w:t xml:space="preserve">Appel d'offres: Publication d'un cahier des charges detaille et invitation aux soumissions</w:t>
      </w:r>
    </w:p>
    <w:p>
      <w:pPr>
        <w:pStyle w:val="ListParagraph"/>
        <w:numPr>
          <w:ilvl w:val="0"/>
          <w:numId w:val="3"/>
        </w:numPr>
      </w:pPr>
      <w:r>
        <w:rPr>
          <w:rFonts w:ascii="Arial" w:cs="Arial" w:eastAsia="Arial" w:hAnsi="Arial"/>
          <w:color w:val="404040"/>
          <w:sz w:val="22"/>
          <w:szCs w:val="22"/>
        </w:rPr>
        <w:t xml:space="preserve">Évaluation technique: Assessment detaille par les parties prenantes techniques</w:t>
      </w:r>
    </w:p>
    <w:p>
      <w:pPr>
        <w:pStyle w:val="ListParagraph"/>
        <w:numPr>
          <w:ilvl w:val="0"/>
          <w:numId w:val="3"/>
        </w:numPr>
      </w:pPr>
      <w:r>
        <w:rPr>
          <w:rFonts w:ascii="Arial" w:cs="Arial" w:eastAsia="Arial" w:hAnsi="Arial"/>
          <w:color w:val="404040"/>
          <w:sz w:val="22"/>
          <w:szCs w:val="22"/>
        </w:rPr>
        <w:t xml:space="preserve">Évaluation éthique et sécurité: Passage en revue par les équipes responsabilité/conformité</w:t>
      </w:r>
    </w:p>
    <w:p>
      <w:pPr>
        <w:pStyle w:val="ListParagraph"/>
        <w:numPr>
          <w:ilvl w:val="0"/>
          <w:numId w:val="3"/>
        </w:numPr>
      </w:pPr>
      <w:r>
        <w:rPr>
          <w:rFonts w:ascii="Arial" w:cs="Arial" w:eastAsia="Arial" w:hAnsi="Arial"/>
          <w:color w:val="404040"/>
          <w:sz w:val="22"/>
          <w:szCs w:val="22"/>
        </w:rPr>
        <w:t xml:space="preserve">Évaluation financiere: Analyse du rapport qualite-prix et couts totaux (TCO)</w:t>
      </w:r>
    </w:p>
    <w:p>
      <w:pPr>
        <w:pStyle w:val="ListParagraph"/>
        <w:numPr>
          <w:ilvl w:val="0"/>
          <w:numId w:val="3"/>
        </w:numPr>
      </w:pPr>
      <w:r>
        <w:rPr>
          <w:rFonts w:ascii="Arial" w:cs="Arial" w:eastAsia="Arial" w:hAnsi="Arial"/>
          <w:color w:val="404040"/>
          <w:sz w:val="22"/>
          <w:szCs w:val="22"/>
        </w:rPr>
        <w:t xml:space="preserve">Negociation et contrats: Finalisation des termes avec le fournisseur retenu</w:t>
      </w:r>
    </w:p>
    <w:p>
      <w:pPr>
        <w:pStyle w:val="ListParagraph"/>
        <w:numPr>
          <w:ilvl w:val="0"/>
          <w:numId w:val="3"/>
        </w:numPr>
      </w:pPr>
      <w:r>
        <w:rPr>
          <w:rFonts w:ascii="Arial" w:cs="Arial" w:eastAsia="Arial" w:hAnsi="Arial"/>
          <w:color w:val="404040"/>
          <w:sz w:val="22"/>
          <w:szCs w:val="22"/>
        </w:rPr>
        <w:t xml:space="preserve">Pilote et validation: Test en environnement contrôle avant déploiement</w:t>
      </w:r>
    </w:p>
    <w:p>
      <w:pPr>
        <w:pStyle w:val="ListParagraph"/>
        <w:numPr>
          <w:ilvl w:val="0"/>
          <w:numId w:val="3"/>
        </w:numPr>
      </w:pPr>
      <w:r>
        <w:rPr>
          <w:rFonts w:ascii="Arial" w:cs="Arial" w:eastAsia="Arial" w:hAnsi="Arial"/>
          <w:color w:val="404040"/>
          <w:sz w:val="22"/>
          <w:szCs w:val="22"/>
        </w:rPr>
        <w:t xml:space="preserve">Déploiement et intégration: Mise en production avec formation et suivi</w:t>
      </w:r>
    </w:p>
    <w:p>
      <w:pPr>
        <w:pStyle w:val="ListParagraph"/>
        <w:numPr>
          <w:ilvl w:val="0"/>
          <w:numId w:val="3"/>
        </w:numPr>
      </w:pPr>
      <w:r>
        <w:rPr>
          <w:rFonts w:ascii="Arial" w:cs="Arial" w:eastAsia="Arial" w:hAnsi="Arial"/>
          <w:color w:val="404040"/>
          <w:sz w:val="22"/>
          <w:szCs w:val="22"/>
        </w:rPr>
        <w:t xml:space="preserve">Suivi et gouvernance: Monitoring continu et audit periodique</w:t>
      </w:r>
    </w:p>
    <w:p>
      <w:pPr>
        <w:pStyle w:val="Heading2"/>
      </w:pPr>
      <w:r>
        <w:t xml:space="preserve">Cahier des charges types pour appel d'offres</w:t>
      </w:r>
    </w:p>
    <w:p>
      <w:r>
        <w:rPr>
          <w:rFonts w:ascii="Arial" w:cs="Arial" w:eastAsia="Arial" w:hAnsi="Arial"/>
          <w:color w:val="404040"/>
          <w:sz w:val="22"/>
          <w:szCs w:val="22"/>
        </w:rPr>
        <w:t xml:space="preserve">Le cahier des charges doit inclure :</w:t>
      </w:r>
    </w:p>
    <w:p>
      <w:pPr>
        <w:pStyle w:val="ListParagraph"/>
        <w:numPr>
          <w:ilvl w:val="0"/>
          <w:numId w:val="2"/>
        </w:numPr>
      </w:pPr>
      <w:r>
        <w:rPr>
          <w:rFonts w:ascii="Arial" w:cs="Arial" w:eastAsia="Arial" w:hAnsi="Arial"/>
          <w:color w:val="404040"/>
          <w:sz w:val="22"/>
          <w:szCs w:val="22"/>
        </w:rPr>
        <w:t xml:space="preserve">Description detaillee du besoin et du contexte d'utilisation</w:t>
      </w:r>
    </w:p>
    <w:p>
      <w:pPr>
        <w:pStyle w:val="ListParagraph"/>
        <w:numPr>
          <w:ilvl w:val="0"/>
          <w:numId w:val="2"/>
        </w:numPr>
      </w:pPr>
      <w:r>
        <w:rPr>
          <w:rFonts w:ascii="Arial" w:cs="Arial" w:eastAsia="Arial" w:hAnsi="Arial"/>
          <w:color w:val="404040"/>
          <w:sz w:val="22"/>
          <w:szCs w:val="22"/>
        </w:rPr>
        <w:t xml:space="preserve">Specifications fonctionnelles et non-fonctionnelles avec critères d'acceptation</w:t>
      </w:r>
    </w:p>
    <w:p>
      <w:pPr>
        <w:pStyle w:val="ListParagraph"/>
        <w:numPr>
          <w:ilvl w:val="0"/>
          <w:numId w:val="2"/>
        </w:numPr>
      </w:pPr>
      <w:r>
        <w:rPr>
          <w:rFonts w:ascii="Arial" w:cs="Arial" w:eastAsia="Arial" w:hAnsi="Arial"/>
          <w:color w:val="404040"/>
          <w:sz w:val="22"/>
          <w:szCs w:val="22"/>
        </w:rPr>
        <w:t xml:space="preserve">Exigences de conformité réglementaire et standards applicables</w:t>
      </w:r>
    </w:p>
    <w:p>
      <w:pPr>
        <w:pStyle w:val="ListParagraph"/>
        <w:numPr>
          <w:ilvl w:val="0"/>
          <w:numId w:val="2"/>
        </w:numPr>
      </w:pPr>
      <w:r>
        <w:rPr>
          <w:rFonts w:ascii="Arial" w:cs="Arial" w:eastAsia="Arial" w:hAnsi="Arial"/>
          <w:color w:val="404040"/>
          <w:sz w:val="22"/>
          <w:szCs w:val="22"/>
        </w:rPr>
        <w:t xml:space="preserve">Critères d'évaluation (ponderes): technique (X%), éthique (Y%), sécurité (Z%), prix (W%)</w:t>
      </w:r>
    </w:p>
    <w:p>
      <w:pPr>
        <w:pStyle w:val="ListParagraph"/>
        <w:numPr>
          <w:ilvl w:val="0"/>
          <w:numId w:val="2"/>
        </w:numPr>
      </w:pPr>
      <w:r>
        <w:rPr>
          <w:rFonts w:ascii="Arial" w:cs="Arial" w:eastAsia="Arial" w:hAnsi="Arial"/>
          <w:color w:val="404040"/>
          <w:sz w:val="22"/>
          <w:szCs w:val="22"/>
        </w:rPr>
        <w:t xml:space="preserve">Modeles de contrats types (clauses IA spécifiques)</w:t>
      </w:r>
    </w:p>
    <w:p>
      <w:pPr>
        <w:pStyle w:val="ListParagraph"/>
        <w:numPr>
          <w:ilvl w:val="0"/>
          <w:numId w:val="2"/>
        </w:numPr>
      </w:pPr>
      <w:r>
        <w:rPr>
          <w:rFonts w:ascii="Arial" w:cs="Arial" w:eastAsia="Arial" w:hAnsi="Arial"/>
          <w:color w:val="404040"/>
          <w:sz w:val="22"/>
          <w:szCs w:val="22"/>
        </w:rPr>
        <w:t xml:space="preserve">Calendrier du processus et conditions de soumission</w:t>
      </w:r>
    </w:p>
    <w:p>
      <w:pPr>
        <w:pStyle w:val="ListParagraph"/>
        <w:numPr>
          <w:ilvl w:val="0"/>
          <w:numId w:val="2"/>
        </w:numPr>
      </w:pPr>
      <w:r>
        <w:rPr>
          <w:rFonts w:ascii="Arial" w:cs="Arial" w:eastAsia="Arial" w:hAnsi="Arial"/>
          <w:color w:val="404040"/>
          <w:sz w:val="22"/>
          <w:szCs w:val="22"/>
        </w:rPr>
        <w:t xml:space="preserve">Processus d'évaluation et de sélection</w:t>
      </w:r>
    </w:p>
    <w:p>
      <w:pPr>
        <w:pStyle w:val="ListParagraph"/>
        <w:numPr>
          <w:ilvl w:val="0"/>
          <w:numId w:val="2"/>
        </w:numPr>
      </w:pPr>
      <w:r>
        <w:rPr>
          <w:rFonts w:ascii="Arial" w:cs="Arial" w:eastAsia="Arial" w:hAnsi="Arial"/>
          <w:color w:val="404040"/>
          <w:sz w:val="22"/>
          <w:szCs w:val="22"/>
        </w:rPr>
        <w:t xml:space="preserve">Conditions commerciales de base et fourchette budgetaire</w:t>
      </w:r>
    </w:p>
    <w:p>
      <w:pPr>
        <w:pStyle w:val="Heading2"/>
      </w:pPr>
      <w:r>
        <w:t xml:space="preserve">Critères de sélection</w:t>
      </w:r>
    </w:p>
    <w:p>
      <w:r>
        <w:rPr>
          <w:rFonts w:ascii="Arial" w:cs="Arial" w:eastAsia="Arial" w:hAnsi="Arial"/>
          <w:color w:val="404040"/>
          <w:sz w:val="22"/>
          <w:szCs w:val="22"/>
        </w:rPr>
        <w:t xml:space="preserve">La sélection finale du fournisseur est basee sur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Groupe de critères</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Ponderation</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Facteurs evalues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Technique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[POND_TECH]%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 specs, performance, support, interopérabilité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Éthique et responsabilité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[POND_ETHIQUE]%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Absence de biais, explcabilite, impact social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Securite et conformité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[POND_SECURITE]%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Chiffrement, audit, certifications, RGPD/Loi 25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Prix et economie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[POND_PRIX]%</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 d'acquisition, couts d'intégration, couts d'opérationnel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Viabilite du fournisseur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[POND_VIABILITE]%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Stabilite financiere, viabilite long terme, support</w:t>
            </w:r>
          </w:p>
        </w:tc>
      </w:tr>
    </w:tbl>
    <w:p>
      <w:r>
        <w:br w:type="page"/>
      </w:r>
    </w:p>
    <w:p>
      <w:pPr>
        <w:pStyle w:val="Heading1"/>
      </w:pPr>
      <w:r>
        <w:t xml:space="preserve">Gouvernance des achats IA</w:t>
      </w:r>
    </w:p>
    <w:p>
      <w:pPr>
        <w:pStyle w:val="Heading2"/>
      </w:pPr>
      <w:r>
        <w:t xml:space="preserve">Comite d'évaluation des fournisseurs</w:t>
      </w:r>
    </w:p>
    <w:p>
      <w:r>
        <w:rPr>
          <w:rFonts w:ascii="Arial" w:cs="Arial" w:eastAsia="Arial" w:hAnsi="Arial"/>
          <w:color w:val="404040"/>
          <w:sz w:val="22"/>
          <w:szCs w:val="22"/>
        </w:rPr>
        <w:t xml:space="preserve">Un comite multidisciplinaire est responsable de l'évaluation et l'approbation des acquisitions IA :</w:t>
      </w:r>
    </w:p>
    <w:p>
      <w:pPr>
        <w:pStyle w:val="ListParagraph"/>
        <w:numPr>
          <w:ilvl w:val="0"/>
          <w:numId w:val="2"/>
        </w:numPr>
      </w:pPr>
      <w:r>
        <w:rPr>
          <w:rFonts w:ascii="Arial" w:cs="Arial" w:eastAsia="Arial" w:hAnsi="Arial"/>
          <w:color w:val="404040"/>
          <w:sz w:val="22"/>
          <w:szCs w:val="22"/>
        </w:rPr>
        <w:t xml:space="preserve">Responsable IA ou Chief AI Officer (president)</w:t>
      </w:r>
    </w:p>
    <w:p>
      <w:pPr>
        <w:pStyle w:val="ListParagraph"/>
        <w:numPr>
          <w:ilvl w:val="0"/>
          <w:numId w:val="2"/>
        </w:numPr>
      </w:pPr>
      <w:r>
        <w:rPr>
          <w:rFonts w:ascii="Arial" w:cs="Arial" w:eastAsia="Arial" w:hAnsi="Arial"/>
          <w:color w:val="404040"/>
          <w:sz w:val="22"/>
          <w:szCs w:val="22"/>
        </w:rPr>
        <w:t xml:space="preserve">Representant direction informatique</w:t>
      </w:r>
    </w:p>
    <w:p>
      <w:pPr>
        <w:pStyle w:val="ListParagraph"/>
        <w:numPr>
          <w:ilvl w:val="0"/>
          <w:numId w:val="2"/>
        </w:numPr>
      </w:pPr>
      <w:r>
        <w:rPr>
          <w:rFonts w:ascii="Arial" w:cs="Arial" w:eastAsia="Arial" w:hAnsi="Arial"/>
          <w:color w:val="404040"/>
          <w:sz w:val="22"/>
          <w:szCs w:val="22"/>
        </w:rPr>
        <w:t xml:space="preserve">Representant protection des données/conformité</w:t>
      </w:r>
    </w:p>
    <w:p>
      <w:pPr>
        <w:pStyle w:val="ListParagraph"/>
        <w:numPr>
          <w:ilvl w:val="0"/>
          <w:numId w:val="2"/>
        </w:numPr>
      </w:pPr>
      <w:r>
        <w:rPr>
          <w:rFonts w:ascii="Arial" w:cs="Arial" w:eastAsia="Arial" w:hAnsi="Arial"/>
          <w:color w:val="404040"/>
          <w:sz w:val="22"/>
          <w:szCs w:val="22"/>
        </w:rPr>
        <w:t xml:space="preserve">Representant direction de projet ou métier</w:t>
      </w:r>
    </w:p>
    <w:p>
      <w:pPr>
        <w:pStyle w:val="ListParagraph"/>
        <w:numPr>
          <w:ilvl w:val="0"/>
          <w:numId w:val="2"/>
        </w:numPr>
      </w:pPr>
      <w:r>
        <w:rPr>
          <w:rFonts w:ascii="Arial" w:cs="Arial" w:eastAsia="Arial" w:hAnsi="Arial"/>
          <w:color w:val="404040"/>
          <w:sz w:val="22"/>
          <w:szCs w:val="22"/>
        </w:rPr>
        <w:t xml:space="preserve">Specialiste en sécurité informatique</w:t>
      </w:r>
    </w:p>
    <w:p>
      <w:pPr>
        <w:pStyle w:val="ListParagraph"/>
        <w:numPr>
          <w:ilvl w:val="0"/>
          <w:numId w:val="2"/>
        </w:numPr>
      </w:pPr>
      <w:r>
        <w:rPr>
          <w:rFonts w:ascii="Arial" w:cs="Arial" w:eastAsia="Arial" w:hAnsi="Arial"/>
          <w:color w:val="404040"/>
          <w:sz w:val="22"/>
          <w:szCs w:val="22"/>
        </w:rPr>
        <w:t xml:space="preserve">Representant finances (pour évaluation prix)</w:t>
      </w:r>
    </w:p>
    <w:p>
      <w:pPr>
        <w:pStyle w:val="Heading2"/>
      </w:pPr>
      <w:r>
        <w:t xml:space="preserve">Autorisation et approbation</w:t>
      </w:r>
    </w:p>
    <w:p>
      <w:r>
        <w:rPr>
          <w:rFonts w:ascii="Arial" w:cs="Arial" w:eastAsia="Arial" w:hAnsi="Arial"/>
          <w:color w:val="404040"/>
          <w:sz w:val="22"/>
          <w:szCs w:val="22"/>
        </w:rPr>
        <w:t xml:space="preserve">Les niveaux d'approbation suivants s'appliquent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Montant</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 d'approbation</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50 000 $</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IT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 du cadre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50 000 $ - 500 000 $</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VP/Directeur + Comite IA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Aligne avec strategie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500 000 $ ou strategique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 + Conseil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organisationnel majeur</w:t>
            </w:r>
          </w:p>
        </w:tc>
      </w:tr>
    </w:tbl>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Comite d'évaluation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Evalue et selectionne les fournisseurs selon les critères definis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 de contrat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le suivi de la relation fournisseur et la conformité contractuelle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Proprietaire d'application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l'intégration et le support opérationnel</w:t>
            </w:r>
          </w:p>
        </w:tc>
      </w:tr>
    </w:tbl>
    <w:p>
      <w:pPr>
        <w:spacing w:before="200"/>
      </w:pPr>
    </w:p>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Specifications de sécurité de [NOM_ORGANISATION]</w:t>
      </w:r>
    </w:p>
    <w:p>
      <w:pPr>
        <w:pStyle w:val="ListParagraph"/>
        <w:numPr>
          <w:ilvl w:val="0"/>
          <w:numId w:val="2"/>
        </w:numPr>
      </w:pPr>
      <w:r>
        <w:rPr>
          <w:rFonts w:ascii="Arial" w:cs="Arial" w:eastAsia="Arial" w:hAnsi="Arial"/>
          <w:color w:val="404040"/>
          <w:sz w:val="22"/>
          <w:szCs w:val="22"/>
        </w:rPr>
        <w:t xml:space="preserve">Politique d'acquisition de [NOM_ORGANISATION]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r>
        <w:br w:type="page"/>
      </w: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Appel d'offres (RFP)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Demande formelle de propositions auprès de fournisseurs potentiels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Due diligence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d'investigation approfondie avant la sélection d'un fournisseur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SLA (Service Level Agreement)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Accord definissant les niveaux de service garantis par le fournisseur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Réversibilité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a migrer vers un autre fournisseur ou solution sans disruption majeure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d'approvisionnement en solutions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2026-03-05T02:14:25.249Z</dcterms:created>
  <dcterms:modified xsi:type="dcterms:W3CDTF">2026-03-05T02:14:25.249Z</dcterms:modified>
</cp:coreProperties>
</file>

<file path=docProps/custom.xml><?xml version="1.0" encoding="utf-8"?>
<Properties xmlns="http://schemas.openxmlformats.org/officeDocument/2006/custom-properties" xmlns:vt="http://schemas.openxmlformats.org/officeDocument/2006/docPropsVTypes"/>
</file>