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color w:val="666666"/>
          <w:sz w:val="28"/>
          <w:szCs w:val="28"/>
        </w:rPr>
        <w:t xml:space="preserve">[NOM_ORGANISATION]</w:t>
      </w:r>
    </w:p>
    <w:p>
      <w:pPr>
        <w:pBdr>
          <w:bottom w:val="single" w:color="2E75B6" w:sz="8" w:space="8"/>
        </w:pBdr>
        <w:spacing w:after="100"/>
        <w:jc w:val="center"/>
      </w:pPr>
      <w:r>
        <w:rPr>
          <w:sz w:val="8"/>
          <w:szCs w:val="8"/>
        </w:rPr>
        <w:t xml:space="preserve"> </w:t>
      </w:r>
    </w:p>
    <w:p>
      <w:pPr>
        <w:spacing w:after="200" w:before="400"/>
        <w:jc w:val="center"/>
      </w:pPr>
      <w:r>
        <w:rPr>
          <w:rFonts w:ascii="Arial" w:cs="Arial" w:eastAsia="Arial" w:hAnsi="Arial"/>
          <w:b/>
          <w:bCs/>
          <w:color w:val="1B3A5C"/>
          <w:sz w:val="48"/>
          <w:szCs w:val="48"/>
        </w:rPr>
        <w:t xml:space="preserve">Grille d'évaluation des fournisseurs IA</w:t>
      </w:r>
    </w:p>
    <w:p>
      <w:pPr>
        <w:spacing w:after="600"/>
        <w:jc w:val="center"/>
      </w:pPr>
      <w:r>
        <w:rPr>
          <w:rFonts w:ascii="Arial" w:cs="Arial" w:eastAsia="Arial" w:hAnsi="Arial"/>
          <w:color w:val="2E75B6"/>
          <w:sz w:val="24"/>
          <w:szCs w:val="24"/>
        </w:rPr>
        <w:t xml:space="preserve">Matrice multicriteres, ponderation et template de rapport</w:t>
      </w:r>
    </w:p>
    <w:p>
      <w:pPr>
        <w:pBdr>
          <w:top w:val="single" w:color="2E75B6" w:sz="8" w:space="8"/>
        </w:pBdr>
        <w:spacing w:after="100"/>
        <w:jc w:val="center"/>
      </w:pPr>
      <w:r>
        <w:rPr>
          <w:sz w:val="8"/>
          <w:szCs w:val="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Version</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[VERSION]</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Date</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[DATE_DOCUMENT]</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Classification</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Confidentiel</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Responsable</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[RESPONSABLE_DOCUMENT]</w:t>
            </w:r>
          </w:p>
        </w:tc>
      </w:tr>
    </w:tbl>
    <w:p>
      <w:r>
        <w:br w:type="page"/>
      </w:r>
    </w:p>
    <w:p>
      <w:pPr>
        <w:sectPr>
          <w:pgSz w:w="12240" w:h="15840" w:orient="portrait"/>
          <w:pgMar w:top="1440" w:right="1440" w:bottom="1440" w:left="1440" w:header="708" w:footer="708" w:gutter="0"/>
          <w:pgNumType/>
          <w:docGrid w:linePitch="360"/>
        </w:sectPr>
      </w:pP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Contrôle du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Élément</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Nom</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Fonction</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Date</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[DATE_CRÉATION]</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[DATE_RÉVISION]</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[DATE_APPROBATION]</w:t>
            </w:r>
          </w:p>
        </w:tc>
      </w:tr>
    </w:tbl>
    <w:p>
      <w:pPr>
        <w:spacing w:before="200"/>
      </w:pPr>
    </w:p>
    <w:p>
      <w:pPr>
        <w:pStyle w:val="Heading2"/>
      </w:pPr>
      <w:r>
        <w:t xml:space="preserve">Historique des 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Version</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Date</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Auteur</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Description des modifications</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1.0</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[DATE_CRÉATION]</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Création initiale du document</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r>
    </w:tbl>
    <w:p>
      <w:r>
        <w:br w:type="page"/>
      </w:r>
    </w:p>
    <w:p>
      <w:pPr>
        <w:pStyle w:val="Heading1"/>
      </w:pPr>
      <w:r>
        <w:t xml:space="preserve">Introduction</w:t>
      </w:r>
    </w:p>
    <w:p>
      <w:r>
        <w:rPr>
          <w:rFonts w:ascii="Arial" w:cs="Arial" w:eastAsia="Arial" w:hAnsi="Arial"/>
          <w:color w:val="404040"/>
          <w:sz w:val="22"/>
          <w:szCs w:val="22"/>
        </w:rPr>
        <w:t xml:space="preserve">La présente grille fournit un cadre structura et systematique pour evaluer et comparer les fournisseurs de solutions IA. Elle permet une évaluation objective, documentee et transparente des candidats.</w:t>
      </w:r>
    </w:p>
    <w:p>
      <w:pPr>
        <w:pStyle w:val="Heading2"/>
      </w:pPr>
      <w:r>
        <w:t xml:space="preserve">Objectifs</w:t>
      </w:r>
    </w:p>
    <w:p>
      <w:pPr>
        <w:pStyle w:val="ListParagraph"/>
        <w:numPr>
          <w:ilvl w:val="0"/>
          <w:numId w:val="2"/>
        </w:numPr>
      </w:pPr>
      <w:r>
        <w:rPr>
          <w:rFonts w:ascii="Arial" w:cs="Arial" w:eastAsia="Arial" w:hAnsi="Arial"/>
          <w:color w:val="404040"/>
          <w:sz w:val="22"/>
          <w:szCs w:val="22"/>
        </w:rPr>
        <w:t xml:space="preserve">Établir des critères communs et compares pour tous les fournisseurs</w:t>
      </w:r>
    </w:p>
    <w:p>
      <w:pPr>
        <w:pStyle w:val="ListParagraph"/>
        <w:numPr>
          <w:ilvl w:val="0"/>
          <w:numId w:val="2"/>
        </w:numPr>
      </w:pPr>
      <w:r>
        <w:rPr>
          <w:rFonts w:ascii="Arial" w:cs="Arial" w:eastAsia="Arial" w:hAnsi="Arial"/>
          <w:color w:val="404040"/>
          <w:sz w:val="22"/>
          <w:szCs w:val="22"/>
        </w:rPr>
        <w:t xml:space="preserve">Minimiser les biais de sélection et garantir l'equite</w:t>
      </w:r>
    </w:p>
    <w:p>
      <w:pPr>
        <w:pStyle w:val="ListParagraph"/>
        <w:numPr>
          <w:ilvl w:val="0"/>
          <w:numId w:val="2"/>
        </w:numPr>
      </w:pPr>
      <w:r>
        <w:rPr>
          <w:rFonts w:ascii="Arial" w:cs="Arial" w:eastAsia="Arial" w:hAnsi="Arial"/>
          <w:color w:val="404040"/>
          <w:sz w:val="22"/>
          <w:szCs w:val="22"/>
        </w:rPr>
        <w:t xml:space="preserve">Documenter les decisions et justifier le choix du fournisseur</w:t>
      </w:r>
    </w:p>
    <w:p>
      <w:pPr>
        <w:pStyle w:val="ListParagraph"/>
        <w:numPr>
          <w:ilvl w:val="0"/>
          <w:numId w:val="2"/>
        </w:numPr>
      </w:pPr>
      <w:r>
        <w:rPr>
          <w:rFonts w:ascii="Arial" w:cs="Arial" w:eastAsia="Arial" w:hAnsi="Arial"/>
          <w:color w:val="404040"/>
          <w:sz w:val="22"/>
          <w:szCs w:val="22"/>
        </w:rPr>
        <w:t xml:space="preserve">Assurer l'alignement avec la strategie IA et les risques acceptables</w:t>
      </w:r>
    </w:p>
    <w:p>
      <w:r>
        <w:br w:type="page"/>
      </w:r>
    </w:p>
    <w:p>
      <w:pPr>
        <w:pStyle w:val="Heading1"/>
      </w:pPr>
      <w:r>
        <w:t xml:space="preserve">Matrice multicriteres detaillee</w:t>
      </w:r>
    </w:p>
    <w:p>
      <w:pPr>
        <w:pStyle w:val="Heading2"/>
      </w:pPr>
      <w:r>
        <w:t xml:space="preserve">Domaine 1: Securite et protection des données</w:t>
      </w:r>
    </w:p>
    <w:p>
      <w:r>
        <w:rPr>
          <w:rFonts w:ascii="Arial" w:cs="Arial" w:eastAsia="Arial" w:hAnsi="Arial"/>
          <w:color w:val="404040"/>
          <w:sz w:val="22"/>
          <w:szCs w:val="22"/>
        </w:rPr>
        <w:t xml:space="preserve">Évaluation de la sécurité technique et de la protection des données personnelles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5860"/>
      </w:tblGrid>
      <w:tr>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Sous-critère</w:t>
            </w:r>
          </w:p>
        </w:tc>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Points max</w:t>
            </w:r>
          </w:p>
        </w:tc>
        <w:tc>
          <w:tcPr>
            <w:tcW w:type="dxa" w:w="58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Indicateurs d'évaluation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Chiffrement en transit et au repos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10</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AES-256 ou equivalent, TLS 1.3</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Gestion des cles de chiffrement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10</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HSM, key rotation, separation des responsabilités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Authentification et contrôle d'accès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10</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MFA, RBAC, provisioning automatise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Audit et journalisation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10</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Logs complets, rétention &gt;= 1 an, immutabilite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Gestion des vulnerabilites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10</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Processus de divulgation, patches rapides, pentest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Certifications de sécurité</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10</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ISO 27001, SOC 2 Type II, certifications tierces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Isolement des données clients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10</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Segregation physique ou logique, données isolees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Plan de continuite/sinistre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10</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RTO/RPO acceptables, backup, failover automatise</w:t>
            </w:r>
          </w:p>
        </w:tc>
      </w:tr>
    </w:tbl>
    <w:p>
      <w:pPr>
        <w:pStyle w:val="Heading2"/>
      </w:pPr>
      <w:r>
        <w:t xml:space="preserve">Domaine 2: Conformite et gouvernance</w:t>
      </w:r>
    </w:p>
    <w:p>
      <w:r>
        <w:rPr>
          <w:rFonts w:ascii="Arial" w:cs="Arial" w:eastAsia="Arial" w:hAnsi="Arial"/>
          <w:color w:val="404040"/>
          <w:sz w:val="22"/>
          <w:szCs w:val="22"/>
        </w:rPr>
        <w:t xml:space="preserve">Évaluation de la conformité avec les lois et reglementations applicables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5860"/>
      </w:tblGrid>
      <w:tr>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Sous-critère</w:t>
            </w:r>
          </w:p>
        </w:tc>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Points max</w:t>
            </w:r>
          </w:p>
        </w:tc>
        <w:tc>
          <w:tcPr>
            <w:tcW w:type="dxa" w:w="58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Indicateurs d'évaluation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Conformite Loi 25 (Quebec)</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10</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Accord de traitement signe, respect de droits (accès, correction)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Conformite PIPEDA (Canada federal)</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10</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Politiques de confidentialité, gestion du consentement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Conformite RGPD (si données UE)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10</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Adéquation juridique, transfert international légal</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Localisation des données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10</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Données au Canada ou Quebec selon besoin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Transfert et sous-traitance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5</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Contrôle sur sous-traitants, interdiction transfert non-autorise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Politique de rétention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10</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Suppression de données dans delai convenu</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Transparence et documentation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10</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Documentation de l'algorithme, limitations connues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Rapports et audit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10</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Rapports d'audit disponibles, accès audit, cooperation</w:t>
            </w:r>
          </w:p>
        </w:tc>
      </w:tr>
    </w:tbl>
    <w:p>
      <w:pPr>
        <w:pStyle w:val="Heading2"/>
      </w:pPr>
      <w:r>
        <w:t xml:space="preserve">Domaine 3: Éthique et responsabilité</w:t>
      </w:r>
    </w:p>
    <w:p>
      <w:r>
        <w:rPr>
          <w:rFonts w:ascii="Arial" w:cs="Arial" w:eastAsia="Arial" w:hAnsi="Arial"/>
          <w:color w:val="404040"/>
          <w:sz w:val="22"/>
          <w:szCs w:val="22"/>
        </w:rPr>
        <w:t xml:space="preserve">Évaluation des aspects éthiques et de la responsabilité societe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5860"/>
      </w:tblGrid>
      <w:tr>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Sous-critère</w:t>
            </w:r>
          </w:p>
        </w:tc>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Points max</w:t>
            </w:r>
          </w:p>
        </w:tc>
        <w:tc>
          <w:tcPr>
            <w:tcW w:type="dxa" w:w="58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Indicateurs d'évaluation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Absence de discrimination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15</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Tests de biais, données equilibrees, pas d'impact adversaire sur groupes proteges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Explcabilite et interpretabilite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15</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Mecanismes d'explication, trace de decision, comprehensibilite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Responsabilité et transparence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10</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Mecanismes d'escalade, recours, compensation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Impact social et environnemental</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10</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Évaluation d'impact, mesures d'attenuation, empreinte carbone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Documentation et divulgation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10</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Fiches techniques, limitations, recommandations d'utilisation</w:t>
            </w:r>
          </w:p>
        </w:tc>
      </w:tr>
    </w:tbl>
    <w:p>
      <w:pPr>
        <w:pStyle w:val="Heading2"/>
      </w:pPr>
      <w:r>
        <w:t xml:space="preserve">Domaine 4: Performance et fiabilité</w:t>
      </w:r>
    </w:p>
    <w:p>
      <w:r>
        <w:rPr>
          <w:rFonts w:ascii="Arial" w:cs="Arial" w:eastAsia="Arial" w:hAnsi="Arial"/>
          <w:color w:val="404040"/>
          <w:sz w:val="22"/>
          <w:szCs w:val="22"/>
        </w:rPr>
        <w:t xml:space="preserve">Évaluation des capacités techniques et de la performance opérationnelle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5860"/>
      </w:tblGrid>
      <w:tr>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Sous-critère</w:t>
            </w:r>
          </w:p>
        </w:tc>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Points max</w:t>
            </w:r>
          </w:p>
        </w:tc>
        <w:tc>
          <w:tcPr>
            <w:tcW w:type="dxa" w:w="58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Indicateurs d'évaluation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Précision/exactitude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15</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Précision &gt;= [SEUIL]%, validation independante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Latence et reactivite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10</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Temps réponse &lt; [LATENCE_MS]ms, tolerance acceptable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Disponibilité et fiabilité</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10</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Uptime &gt;= 99.9%, SLA contractuel</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Scalabilité</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10</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Augmentation de volume sans degradation, architecture elastique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Stabilite des modeles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10</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Performance consistante dans le temps, pas de drift</w:t>
            </w:r>
          </w:p>
        </w:tc>
      </w:tr>
    </w:tbl>
    <w:p>
      <w:pPr>
        <w:pStyle w:val="Heading2"/>
      </w:pPr>
      <w:r>
        <w:t xml:space="preserve">Domaine 5: Conformite et compatibilité</w:t>
      </w:r>
    </w:p>
    <w:p>
      <w:r>
        <w:rPr>
          <w:rFonts w:ascii="Arial" w:cs="Arial" w:eastAsia="Arial" w:hAnsi="Arial"/>
          <w:color w:val="404040"/>
          <w:sz w:val="22"/>
          <w:szCs w:val="22"/>
        </w:rPr>
        <w:t xml:space="preserve">Évaluation de l'interopérabilité et la compatibilité technique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5860"/>
      </w:tblGrid>
      <w:tr>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Sous-critère</w:t>
            </w:r>
          </w:p>
        </w:tc>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Points max</w:t>
            </w:r>
          </w:p>
        </w:tc>
        <w:tc>
          <w:tcPr>
            <w:tcW w:type="dxa" w:w="58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Indicateurs d'évaluation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APIs et intégration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10</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REST APIs, webhooks, SDK disponibles, documentation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Formats de données standards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10</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JSON, CSV, formats communs, pas de format proprietaire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Support des standards sectoriels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10</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HL7 (sante), FIX (finance), etc. selon besoin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Migration et réversibilité</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10</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Export de données, format standard, pas de lock-in</w:t>
            </w:r>
          </w:p>
        </w:tc>
      </w:tr>
    </w:tbl>
    <w:p>
      <w:pPr>
        <w:pStyle w:val="Heading2"/>
      </w:pPr>
      <w:r>
        <w:t xml:space="preserve">Domaine 6: Support et perennite</w:t>
      </w:r>
    </w:p>
    <w:p>
      <w:r>
        <w:rPr>
          <w:rFonts w:ascii="Arial" w:cs="Arial" w:eastAsia="Arial" w:hAnsi="Arial"/>
          <w:color w:val="404040"/>
          <w:sz w:val="22"/>
          <w:szCs w:val="22"/>
        </w:rPr>
        <w:t xml:space="preserve">Évaluation de la qualite du support et la viabilite a long terme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5860"/>
      </w:tblGrid>
      <w:tr>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Sous-critère</w:t>
            </w:r>
          </w:p>
        </w:tc>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Points max</w:t>
            </w:r>
          </w:p>
        </w:tc>
        <w:tc>
          <w:tcPr>
            <w:tcW w:type="dxa" w:w="58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Indicateurs d'évaluation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Support technique 24/7</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10</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SLA de réponse &lt; [HEURES]h, escalade claire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Documentation et formation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10</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Docs completes, formation incluse, onboarding</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Roadmap et evolution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10</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Feuille de route claire, innovationcontinu</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Stabilite financiere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10</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Fournisseur solide, pas de risque de faillite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Communaute et ecosystem</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10</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Communaute active, integrateurs certifies, ecosystem</w:t>
            </w:r>
          </w:p>
        </w:tc>
      </w:tr>
    </w:tbl>
    <w:p>
      <w:pPr>
        <w:pStyle w:val="Heading2"/>
      </w:pPr>
      <w:r>
        <w:t xml:space="preserve">Domaine 7: Cout total de possession (TCO)</w:t>
      </w:r>
    </w:p>
    <w:p>
      <w:r>
        <w:rPr>
          <w:rFonts w:ascii="Arial" w:cs="Arial" w:eastAsia="Arial" w:hAnsi="Arial"/>
          <w:color w:val="404040"/>
          <w:sz w:val="22"/>
          <w:szCs w:val="22"/>
        </w:rPr>
        <w:t xml:space="preserve">Évaluation economique et financiere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5860"/>
      </w:tblGrid>
      <w:tr>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Composante de cout</w:t>
            </w:r>
          </w:p>
        </w:tc>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Points max</w:t>
            </w:r>
          </w:p>
        </w:tc>
        <w:tc>
          <w:tcPr>
            <w:tcW w:type="dxa" w:w="58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Indicateurs d'évaluation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Cout d'acquisition/licence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10</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Prix initial, modele tarifaire transparent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Couts d'intégration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10</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Services d'intégration, formation, deployment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Couts opérationnels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10</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Support, maintenance, mises a jour</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Couts de migration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5</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Couts de migration et replacement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Ratio qualite-prix</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5</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Meilleure valeur pour investissement</w:t>
            </w:r>
          </w:p>
        </w:tc>
      </w:tr>
    </w:tbl>
    <w:p>
      <w:r>
        <w:br w:type="page"/>
      </w:r>
    </w:p>
    <w:p>
      <w:pPr>
        <w:pStyle w:val="Heading1"/>
      </w:pPr>
      <w:r>
        <w:t xml:space="preserve">Systeme de ponderation et scoring</w:t>
      </w:r>
    </w:p>
    <w:p>
      <w:pPr>
        <w:pStyle w:val="Heading2"/>
      </w:pPr>
      <w:r>
        <w:t xml:space="preserve">Ponderation par domaine</w:t>
      </w:r>
    </w:p>
    <w:p>
      <w:r>
        <w:rPr>
          <w:rFonts w:ascii="Arial" w:cs="Arial" w:eastAsia="Arial" w:hAnsi="Arial"/>
          <w:color w:val="404040"/>
          <w:sz w:val="22"/>
          <w:szCs w:val="22"/>
        </w:rPr>
        <w:t xml:space="preserve">Chaque domaine a une ponderation distincte selon l'importance strategique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Domaine</w:t>
            </w:r>
          </w:p>
        </w:tc>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Ponderation (%)</w:t>
            </w:r>
          </w:p>
        </w:tc>
        <w:tc>
          <w:tcPr>
            <w:tcW w:type="dxa" w:w="48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Justification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Securite et données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25</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Priorite critique pour protection des données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Conformite réglementaire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20</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Exigence légale incontournable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Éthique et responsabilité</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15</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Alignement avec valeurs de l'organisation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Performance et fiabilité</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20</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Capacité a satisfaire les besoins opérationnels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Support et perennite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10</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Viabilite et operabilite long terme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Cout TCO</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10</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Soutenabilite economique</w:t>
            </w:r>
          </w:p>
        </w:tc>
      </w:tr>
    </w:tbl>
    <w:p>
      <w:pPr>
        <w:pStyle w:val="Heading2"/>
      </w:pPr>
      <w:r>
        <w:t xml:space="preserve">Calcul du score</w:t>
      </w:r>
    </w:p>
    <w:p>
      <w:r>
        <w:rPr>
          <w:rFonts w:ascii="Arial" w:cs="Arial" w:eastAsia="Arial" w:hAnsi="Arial"/>
          <w:color w:val="404040"/>
          <w:sz w:val="22"/>
          <w:szCs w:val="22"/>
        </w:rPr>
        <w:t xml:space="preserve">Score final = Somme(Score domaine X Ponderation domaine)</w:t>
      </w:r>
    </w:p>
    <w:p>
      <w:r>
        <w:rPr>
          <w:rFonts w:ascii="Arial" w:cs="Arial" w:eastAsia="Arial" w:hAnsi="Arial"/>
          <w:color w:val="404040"/>
          <w:sz w:val="22"/>
          <w:szCs w:val="22"/>
        </w:rPr>
        <w:t xml:space="preserve">Chaque evaluateur note de 0 a 100 pour chaque domaine. Les scores des évaluateurs sont moyennes, puis applies la ponderation pour obtenir un score final sur 100.</w:t>
      </w:r>
    </w:p>
    <w:p>
      <w:pPr>
        <w:pStyle w:val="Heading2"/>
      </w:pPr>
      <w:r>
        <w:t xml:space="preserve">Echelle d'interpretation des scores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Score</w:t>
            </w:r>
          </w:p>
        </w:tc>
        <w:tc>
          <w:tcPr>
            <w:tcW w:type="dxa" w:w="2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Interpretation</w:t>
            </w:r>
          </w:p>
        </w:tc>
        <w:tc>
          <w:tcPr>
            <w:tcW w:type="dxa" w:w="5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Recommendation</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&gt;= 85</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Excellent - Répond aux exigences</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Approuver</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70-84</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Bon - Répond avec quelques reservations</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Approuver avec conditions/negociation</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55-69</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Acceptable - Risques acceptables avec attenuation</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Pilot ou renegocier</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40-54</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Faible - Risques majeurs</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Rejeter ou redefinir besoins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&lt; 40</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Inacceptable - Non conforme</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Rejeter definitiement</w:t>
            </w:r>
          </w:p>
        </w:tc>
      </w:tr>
    </w:tbl>
    <w:p>
      <w:r>
        <w:br w:type="page"/>
      </w:r>
    </w:p>
    <w:p>
      <w:pPr>
        <w:pStyle w:val="Heading1"/>
      </w:pPr>
      <w:r>
        <w:t xml:space="preserve">Template de rapport d'évaluation</w:t>
      </w:r>
    </w:p>
    <w:p>
      <w:pPr>
        <w:pStyle w:val="Heading2"/>
      </w:pPr>
      <w:r>
        <w:t xml:space="preserve">En-tete du rapport</w:t>
      </w:r>
    </w:p>
    <w:p>
      <w:r>
        <w:rPr>
          <w:rFonts w:ascii="Arial" w:cs="Arial" w:eastAsia="Arial" w:hAnsi="Arial"/>
          <w:color w:val="404040"/>
          <w:sz w:val="22"/>
          <w:szCs w:val="22"/>
        </w:rPr>
        <w:t xml:space="preserve">Le rapport doit inclure :</w:t>
      </w:r>
    </w:p>
    <w:p>
      <w:pPr>
        <w:pStyle w:val="ListParagraph"/>
        <w:numPr>
          <w:ilvl w:val="0"/>
          <w:numId w:val="2"/>
        </w:numPr>
      </w:pPr>
      <w:r>
        <w:rPr>
          <w:rFonts w:ascii="Arial" w:cs="Arial" w:eastAsia="Arial" w:hAnsi="Arial"/>
          <w:color w:val="404040"/>
          <w:sz w:val="22"/>
          <w:szCs w:val="22"/>
        </w:rPr>
        <w:t xml:space="preserve">Titre: Évaluation des fournisseurs - [NOM_SOLUTION_IA]</w:t>
      </w:r>
    </w:p>
    <w:p>
      <w:pPr>
        <w:pStyle w:val="ListParagraph"/>
        <w:numPr>
          <w:ilvl w:val="0"/>
          <w:numId w:val="2"/>
        </w:numPr>
      </w:pPr>
      <w:r>
        <w:rPr>
          <w:rFonts w:ascii="Arial" w:cs="Arial" w:eastAsia="Arial" w:hAnsi="Arial"/>
          <w:color w:val="404040"/>
          <w:sz w:val="22"/>
          <w:szCs w:val="22"/>
        </w:rPr>
        <w:t xml:space="preserve">Date d'évaluation et periode couverte</w:t>
      </w:r>
    </w:p>
    <w:p>
      <w:pPr>
        <w:pStyle w:val="ListParagraph"/>
        <w:numPr>
          <w:ilvl w:val="0"/>
          <w:numId w:val="2"/>
        </w:numPr>
      </w:pPr>
      <w:r>
        <w:rPr>
          <w:rFonts w:ascii="Arial" w:cs="Arial" w:eastAsia="Arial" w:hAnsi="Arial"/>
          <w:color w:val="404040"/>
          <w:sz w:val="22"/>
          <w:szCs w:val="22"/>
        </w:rPr>
        <w:t xml:space="preserve">Nom des évaluateurs et leurs rôles</w:t>
      </w:r>
    </w:p>
    <w:p>
      <w:pPr>
        <w:pStyle w:val="ListParagraph"/>
        <w:numPr>
          <w:ilvl w:val="0"/>
          <w:numId w:val="2"/>
        </w:numPr>
      </w:pPr>
      <w:r>
        <w:rPr>
          <w:rFonts w:ascii="Arial" w:cs="Arial" w:eastAsia="Arial" w:hAnsi="Arial"/>
          <w:color w:val="404040"/>
          <w:sz w:val="22"/>
          <w:szCs w:val="22"/>
        </w:rPr>
        <w:t xml:space="preserve">Fournisseurs evalues et critères de sélection</w:t>
      </w:r>
    </w:p>
    <w:p>
      <w:pPr>
        <w:pStyle w:val="Heading2"/>
      </w:pPr>
      <w:r>
        <w:t xml:space="preserve">Synthese executif</w:t>
      </w:r>
    </w:p>
    <w:p>
      <w:r>
        <w:rPr>
          <w:rFonts w:ascii="Arial" w:cs="Arial" w:eastAsia="Arial" w:hAnsi="Arial"/>
          <w:color w:val="404040"/>
          <w:sz w:val="22"/>
          <w:szCs w:val="22"/>
        </w:rPr>
        <w:t xml:space="preserve">Resume d'une page maximum incluant :</w:t>
      </w:r>
    </w:p>
    <w:p>
      <w:pPr>
        <w:pStyle w:val="ListParagraph"/>
        <w:numPr>
          <w:ilvl w:val="0"/>
          <w:numId w:val="2"/>
        </w:numPr>
      </w:pPr>
      <w:r>
        <w:rPr>
          <w:rFonts w:ascii="Arial" w:cs="Arial" w:eastAsia="Arial" w:hAnsi="Arial"/>
          <w:color w:val="404040"/>
          <w:sz w:val="22"/>
          <w:szCs w:val="22"/>
        </w:rPr>
        <w:t xml:space="preserve">Contexte et besoins</w:t>
      </w:r>
    </w:p>
    <w:p>
      <w:pPr>
        <w:pStyle w:val="ListParagraph"/>
        <w:numPr>
          <w:ilvl w:val="0"/>
          <w:numId w:val="2"/>
        </w:numPr>
      </w:pPr>
      <w:r>
        <w:rPr>
          <w:rFonts w:ascii="Arial" w:cs="Arial" w:eastAsia="Arial" w:hAnsi="Arial"/>
          <w:color w:val="404040"/>
          <w:sz w:val="22"/>
          <w:szCs w:val="22"/>
        </w:rPr>
        <w:t xml:space="preserve">Nombre de fournisseurs evalues</w:t>
      </w:r>
    </w:p>
    <w:p>
      <w:pPr>
        <w:pStyle w:val="ListParagraph"/>
        <w:numPr>
          <w:ilvl w:val="0"/>
          <w:numId w:val="2"/>
        </w:numPr>
      </w:pPr>
      <w:r>
        <w:rPr>
          <w:rFonts w:ascii="Arial" w:cs="Arial" w:eastAsia="Arial" w:hAnsi="Arial"/>
          <w:color w:val="404040"/>
          <w:sz w:val="22"/>
          <w:szCs w:val="22"/>
        </w:rPr>
        <w:t xml:space="preserve">Recommandation: Fournisseur retenu et justification</w:t>
      </w:r>
    </w:p>
    <w:p>
      <w:pPr>
        <w:pStyle w:val="ListParagraph"/>
        <w:numPr>
          <w:ilvl w:val="0"/>
          <w:numId w:val="2"/>
        </w:numPr>
      </w:pPr>
      <w:r>
        <w:rPr>
          <w:rFonts w:ascii="Arial" w:cs="Arial" w:eastAsia="Arial" w:hAnsi="Arial"/>
          <w:color w:val="404040"/>
          <w:sz w:val="22"/>
          <w:szCs w:val="22"/>
        </w:rPr>
        <w:t xml:space="preserve">Score du meilleur candidat et score minimal</w:t>
      </w:r>
    </w:p>
    <w:p>
      <w:pPr>
        <w:pStyle w:val="ListParagraph"/>
        <w:numPr>
          <w:ilvl w:val="0"/>
          <w:numId w:val="2"/>
        </w:numPr>
      </w:pPr>
      <w:r>
        <w:rPr>
          <w:rFonts w:ascii="Arial" w:cs="Arial" w:eastAsia="Arial" w:hAnsi="Arial"/>
          <w:color w:val="404040"/>
          <w:sz w:val="22"/>
          <w:szCs w:val="22"/>
        </w:rPr>
        <w:t xml:space="preserve">Risques residuels et mesures d'attenuation</w:t>
      </w:r>
    </w:p>
    <w:p>
      <w:pPr>
        <w:pStyle w:val="Heading2"/>
      </w:pPr>
      <w:r>
        <w:t xml:space="preserve">Tableau comparatif des scores</w:t>
      </w:r>
    </w:p>
    <w:p>
      <w:r>
        <w:rPr>
          <w:rFonts w:ascii="Arial" w:cs="Arial" w:eastAsia="Arial" w:hAnsi="Arial"/>
          <w:color w:val="404040"/>
          <w:sz w:val="22"/>
          <w:szCs w:val="22"/>
        </w:rPr>
        <w:t xml:space="preserve">Tableau presentant pour chaque fournisseur :</w:t>
      </w:r>
    </w:p>
    <w:p>
      <w:pPr>
        <w:pStyle w:val="ListParagraph"/>
        <w:numPr>
          <w:ilvl w:val="0"/>
          <w:numId w:val="2"/>
        </w:numPr>
      </w:pPr>
      <w:r>
        <w:rPr>
          <w:rFonts w:ascii="Arial" w:cs="Arial" w:eastAsia="Arial" w:hAnsi="Arial"/>
          <w:color w:val="404040"/>
          <w:sz w:val="22"/>
          <w:szCs w:val="22"/>
        </w:rPr>
        <w:t xml:space="preserve">Score par domaine (couleur vert/jaune/rouge)</w:t>
      </w:r>
    </w:p>
    <w:p>
      <w:pPr>
        <w:pStyle w:val="ListParagraph"/>
        <w:numPr>
          <w:ilvl w:val="0"/>
          <w:numId w:val="2"/>
        </w:numPr>
      </w:pPr>
      <w:r>
        <w:rPr>
          <w:rFonts w:ascii="Arial" w:cs="Arial" w:eastAsia="Arial" w:hAnsi="Arial"/>
          <w:color w:val="404040"/>
          <w:sz w:val="22"/>
          <w:szCs w:val="22"/>
        </w:rPr>
        <w:t xml:space="preserve">Score pondere total</w:t>
      </w:r>
    </w:p>
    <w:p>
      <w:pPr>
        <w:pStyle w:val="ListParagraph"/>
        <w:numPr>
          <w:ilvl w:val="0"/>
          <w:numId w:val="2"/>
        </w:numPr>
      </w:pPr>
      <w:r>
        <w:rPr>
          <w:rFonts w:ascii="Arial" w:cs="Arial" w:eastAsia="Arial" w:hAnsi="Arial"/>
          <w:color w:val="404040"/>
          <w:sz w:val="22"/>
          <w:szCs w:val="22"/>
        </w:rPr>
        <w:t xml:space="preserve">Rang final</w:t>
      </w:r>
    </w:p>
    <w:p>
      <w:pPr>
        <w:pStyle w:val="Heading2"/>
      </w:pPr>
      <w:r>
        <w:t xml:space="preserve">Fiche detaillee par fournisseur</w:t>
      </w:r>
    </w:p>
    <w:p>
      <w:r>
        <w:rPr>
          <w:rFonts w:ascii="Arial" w:cs="Arial" w:eastAsia="Arial" w:hAnsi="Arial"/>
          <w:color w:val="404040"/>
          <w:sz w:val="22"/>
          <w:szCs w:val="22"/>
        </w:rPr>
        <w:t xml:space="preserve">Pour le fournisseur retenu et les principaux candidats :</w:t>
      </w:r>
    </w:p>
    <w:p>
      <w:pPr>
        <w:pStyle w:val="ListParagraph"/>
        <w:numPr>
          <w:ilvl w:val="0"/>
          <w:numId w:val="2"/>
        </w:numPr>
      </w:pPr>
      <w:r>
        <w:rPr>
          <w:rFonts w:ascii="Arial" w:cs="Arial" w:eastAsia="Arial" w:hAnsi="Arial"/>
          <w:color w:val="404040"/>
          <w:sz w:val="22"/>
          <w:szCs w:val="22"/>
        </w:rPr>
        <w:t xml:space="preserve">Profil du fournisseur: secteur, expérience, certifications</w:t>
      </w:r>
    </w:p>
    <w:p>
      <w:pPr>
        <w:pStyle w:val="ListParagraph"/>
        <w:numPr>
          <w:ilvl w:val="0"/>
          <w:numId w:val="2"/>
        </w:numPr>
      </w:pPr>
      <w:r>
        <w:rPr>
          <w:rFonts w:ascii="Arial" w:cs="Arial" w:eastAsia="Arial" w:hAnsi="Arial"/>
          <w:color w:val="404040"/>
          <w:sz w:val="22"/>
          <w:szCs w:val="22"/>
        </w:rPr>
        <w:t xml:space="preserve">Analyse detaillee par domaine avec justification</w:t>
      </w:r>
    </w:p>
    <w:p>
      <w:pPr>
        <w:pStyle w:val="ListParagraph"/>
        <w:numPr>
          <w:ilvl w:val="0"/>
          <w:numId w:val="2"/>
        </w:numPr>
      </w:pPr>
      <w:r>
        <w:rPr>
          <w:rFonts w:ascii="Arial" w:cs="Arial" w:eastAsia="Arial" w:hAnsi="Arial"/>
          <w:color w:val="404040"/>
          <w:sz w:val="22"/>
          <w:szCs w:val="22"/>
        </w:rPr>
        <w:t xml:space="preserve">Points forts et points faibles</w:t>
      </w:r>
    </w:p>
    <w:p>
      <w:pPr>
        <w:pStyle w:val="ListParagraph"/>
        <w:numPr>
          <w:ilvl w:val="0"/>
          <w:numId w:val="2"/>
        </w:numPr>
      </w:pPr>
      <w:r>
        <w:rPr>
          <w:rFonts w:ascii="Arial" w:cs="Arial" w:eastAsia="Arial" w:hAnsi="Arial"/>
          <w:color w:val="404040"/>
          <w:sz w:val="22"/>
          <w:szCs w:val="22"/>
        </w:rPr>
        <w:t xml:space="preserve">Conditions proposees et contrats types</w:t>
      </w:r>
    </w:p>
    <w:p>
      <w:pPr>
        <w:pStyle w:val="ListParagraph"/>
        <w:numPr>
          <w:ilvl w:val="0"/>
          <w:numId w:val="2"/>
        </w:numPr>
      </w:pPr>
      <w:r>
        <w:rPr>
          <w:rFonts w:ascii="Arial" w:cs="Arial" w:eastAsia="Arial" w:hAnsi="Arial"/>
          <w:color w:val="404040"/>
          <w:sz w:val="22"/>
          <w:szCs w:val="22"/>
        </w:rPr>
        <w:t xml:space="preserve">Risques identifies et mesures de mitigation</w:t>
      </w:r>
    </w:p>
    <w:p>
      <w:pPr>
        <w:pStyle w:val="ListParagraph"/>
        <w:numPr>
          <w:ilvl w:val="0"/>
          <w:numId w:val="2"/>
        </w:numPr>
      </w:pPr>
      <w:r>
        <w:rPr>
          <w:rFonts w:ascii="Arial" w:cs="Arial" w:eastAsia="Arial" w:hAnsi="Arial"/>
          <w:color w:val="404040"/>
          <w:sz w:val="22"/>
          <w:szCs w:val="22"/>
        </w:rPr>
        <w:t xml:space="preserve">Calendrier et etapes suivantes</w:t>
      </w:r>
    </w:p>
    <w:p>
      <w:pPr>
        <w:pStyle w:val="Heading2"/>
      </w:pPr>
      <w:r>
        <w:t xml:space="preserve">Checklist de validation</w:t>
      </w:r>
    </w:p>
    <w:p>
      <w:r>
        <w:rPr>
          <w:rFonts w:ascii="Arial" w:cs="Arial" w:eastAsia="Arial" w:hAnsi="Arial"/>
          <w:color w:val="404040"/>
          <w:sz w:val="22"/>
          <w:szCs w:val="22"/>
        </w:rPr>
        <w:t xml:space="preserve">Avant finalisation du rapport :</w:t>
      </w:r>
    </w:p>
    <w:p>
      <w:pPr>
        <w:pStyle w:val="ListParagraph"/>
        <w:numPr>
          <w:ilvl w:val="0"/>
          <w:numId w:val="2"/>
        </w:numPr>
      </w:pPr>
      <w:r>
        <w:rPr>
          <w:rFonts w:ascii="Arial" w:cs="Arial" w:eastAsia="Arial" w:hAnsi="Arial"/>
          <w:color w:val="404040"/>
          <w:sz w:val="22"/>
          <w:szCs w:val="22"/>
        </w:rPr>
        <w:t xml:space="preserve">Tous les évaluateurs ont fourni leurs scores</w:t>
      </w:r>
    </w:p>
    <w:p>
      <w:pPr>
        <w:pStyle w:val="ListParagraph"/>
        <w:numPr>
          <w:ilvl w:val="0"/>
          <w:numId w:val="2"/>
        </w:numPr>
      </w:pPr>
      <w:r>
        <w:rPr>
          <w:rFonts w:ascii="Arial" w:cs="Arial" w:eastAsia="Arial" w:hAnsi="Arial"/>
          <w:color w:val="404040"/>
          <w:sz w:val="22"/>
          <w:szCs w:val="22"/>
        </w:rPr>
        <w:t xml:space="preserve">Conflits d'interet identifies et geres</w:t>
      </w:r>
    </w:p>
    <w:p>
      <w:pPr>
        <w:pStyle w:val="ListParagraph"/>
        <w:numPr>
          <w:ilvl w:val="0"/>
          <w:numId w:val="2"/>
        </w:numPr>
      </w:pPr>
      <w:r>
        <w:rPr>
          <w:rFonts w:ascii="Arial" w:cs="Arial" w:eastAsia="Arial" w:hAnsi="Arial"/>
          <w:color w:val="404040"/>
          <w:sz w:val="22"/>
          <w:szCs w:val="22"/>
        </w:rPr>
        <w:t xml:space="preserve">Documentation des decisions et justifications</w:t>
      </w:r>
    </w:p>
    <w:p>
      <w:pPr>
        <w:pStyle w:val="ListParagraph"/>
        <w:numPr>
          <w:ilvl w:val="0"/>
          <w:numId w:val="2"/>
        </w:numPr>
      </w:pPr>
      <w:r>
        <w:rPr>
          <w:rFonts w:ascii="Arial" w:cs="Arial" w:eastAsia="Arial" w:hAnsi="Arial"/>
          <w:color w:val="404040"/>
          <w:sz w:val="22"/>
          <w:szCs w:val="22"/>
        </w:rPr>
        <w:t xml:space="preserve">Approbations requeues obtenues</w:t>
      </w:r>
    </w:p>
    <w:p>
      <w:pPr>
        <w:pStyle w:val="ListParagraph"/>
        <w:numPr>
          <w:ilvl w:val="0"/>
          <w:numId w:val="2"/>
        </w:numPr>
      </w:pPr>
      <w:r>
        <w:rPr>
          <w:rFonts w:ascii="Arial" w:cs="Arial" w:eastAsia="Arial" w:hAnsi="Arial"/>
          <w:color w:val="404040"/>
          <w:sz w:val="22"/>
          <w:szCs w:val="22"/>
        </w:rPr>
        <w:t xml:space="preserve">Plan d'action pour risques identifies</w:t>
      </w:r>
    </w:p>
    <w:p>
      <w:pPr>
        <w:pStyle w:val="Heading1"/>
      </w:pPr>
      <w:r>
        <w:t xml:space="preserve">Rôles et responsabilités</w:t>
      </w:r>
    </w:p>
    <w:p>
      <w:r>
        <w:rPr>
          <w:rFonts w:ascii="Arial" w:cs="Arial" w:eastAsia="Arial" w:hAnsi="Arial"/>
          <w:color w:val="404040"/>
          <w:sz w:val="22"/>
          <w:szCs w:val="22"/>
        </w:rPr>
        <w:t xml:space="preserve">Les rôles et responsabilités suivants sont définis dans le cadre du présent document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Rôle</w:t>
            </w:r>
          </w:p>
        </w:tc>
        <w:tc>
          <w:tcPr>
            <w:tcW w:type="dxa" w:w="6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Responsabilités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Direction générale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Approuve la stratégie IA et alloue les ressources nécessaires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Comité de gouvernance 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Supervise la mise en œuvre des politiques et prend les décisions stratégiques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Responsable IA / Chief AI Officer</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Coordonne les initiatives IA et assure la conformité opérationnelle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Responsable de la protection des renseignements personnels (DPO)</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Veille au respect de la Loi 25 et des obligations de confidentialité</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Direction des technologies de l'information</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Assure la sécurité, l'infrastructure et le support technique des systèmes IA</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Gestionnaires de département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Encadrent l'utilisation de l'IA dans leurs équipes respectives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Ensemble des employés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Respectent les politiques et signalent les incidents ou préoccupations</w:t>
            </w:r>
          </w:p>
        </w:tc>
      </w:tr>
    </w:tbl>
    <w:p>
      <w:pPr>
        <w:spacing w:before="200"/>
      </w:pPr>
    </w:p>
    <w:p>
      <w:r>
        <w:br w:type="page"/>
      </w:r>
    </w:p>
    <w:p>
      <w:pPr>
        <w:pStyle w:val="Heading1"/>
      </w:pPr>
      <w:r>
        <w:t xml:space="preserve">Cadre de référence</w:t>
      </w:r>
    </w:p>
    <w:p>
      <w:r>
        <w:rPr>
          <w:rFonts w:ascii="Arial" w:cs="Arial" w:eastAsia="Arial" w:hAnsi="Arial"/>
          <w:color w:val="404040"/>
          <w:sz w:val="22"/>
          <w:szCs w:val="22"/>
        </w:rPr>
        <w:t xml:space="preserve">Le présent document s'appuie sur les normes, lois et cadres de référence suivants :</w:t>
      </w:r>
    </w:p>
    <w:p>
      <w:pPr>
        <w:pStyle w:val="ListParagraph"/>
        <w:numPr>
          <w:ilvl w:val="0"/>
          <w:numId w:val="2"/>
        </w:numPr>
      </w:pPr>
      <w:r>
        <w:rPr>
          <w:rFonts w:ascii="Arial" w:cs="Arial" w:eastAsia="Arial" w:hAnsi="Arial"/>
          <w:color w:val="404040"/>
          <w:sz w:val="22"/>
          <w:szCs w:val="22"/>
        </w:rPr>
        <w:t xml:space="preserve">ISO/IEC 42001:2023 - Système de management de l'intelligence artificielle</w:t>
      </w:r>
    </w:p>
    <w:p>
      <w:pPr>
        <w:pStyle w:val="ListParagraph"/>
        <w:numPr>
          <w:ilvl w:val="0"/>
          <w:numId w:val="2"/>
        </w:numPr>
      </w:pPr>
      <w:r>
        <w:rPr>
          <w:rFonts w:ascii="Arial" w:cs="Arial" w:eastAsia="Arial" w:hAnsi="Arial"/>
          <w:color w:val="404040"/>
          <w:sz w:val="22"/>
          <w:szCs w:val="22"/>
        </w:rPr>
        <w:t xml:space="preserve">ISO/IEC 23894:2023 - Lignes directrices sur la gestion des risques liés à l'IA</w:t>
      </w:r>
    </w:p>
    <w:p>
      <w:pPr>
        <w:pStyle w:val="ListParagraph"/>
        <w:numPr>
          <w:ilvl w:val="0"/>
          <w:numId w:val="2"/>
        </w:numPr>
      </w:pPr>
      <w:r>
        <w:rPr>
          <w:rFonts w:ascii="Arial" w:cs="Arial" w:eastAsia="Arial" w:hAnsi="Arial"/>
          <w:color w:val="404040"/>
          <w:sz w:val="22"/>
          <w:szCs w:val="22"/>
        </w:rPr>
        <w:t xml:space="preserve">NIST AI Risk Management Framework (AI RMF 1.0)</w:t>
      </w:r>
    </w:p>
    <w:p>
      <w:pPr>
        <w:pStyle w:val="ListParagraph"/>
        <w:numPr>
          <w:ilvl w:val="0"/>
          <w:numId w:val="2"/>
        </w:numPr>
      </w:pPr>
      <w:r>
        <w:rPr>
          <w:rFonts w:ascii="Arial" w:cs="Arial" w:eastAsia="Arial" w:hAnsi="Arial"/>
          <w:color w:val="404040"/>
          <w:sz w:val="22"/>
          <w:szCs w:val="22"/>
        </w:rPr>
        <w:t xml:space="preserve">Loi 25 - Loi modernisant des dispositions législatives en matière de protection des renseignements personnels (Québec)</w:t>
      </w:r>
    </w:p>
    <w:p>
      <w:pPr>
        <w:pStyle w:val="ListParagraph"/>
        <w:numPr>
          <w:ilvl w:val="0"/>
          <w:numId w:val="2"/>
        </w:numPr>
      </w:pPr>
      <w:r>
        <w:rPr>
          <w:rFonts w:ascii="Arial" w:cs="Arial" w:eastAsia="Arial" w:hAnsi="Arial"/>
          <w:color w:val="404040"/>
          <w:sz w:val="22"/>
          <w:szCs w:val="22"/>
        </w:rPr>
        <w:t xml:space="preserve">Projet de loi C-27 - Loi sur l'intelligence artificielle et les données (LIAD) (Canada)</w:t>
      </w:r>
    </w:p>
    <w:p>
      <w:pPr>
        <w:pStyle w:val="ListParagraph"/>
        <w:numPr>
          <w:ilvl w:val="0"/>
          <w:numId w:val="2"/>
        </w:numPr>
      </w:pPr>
      <w:r>
        <w:rPr>
          <w:rFonts w:ascii="Arial" w:cs="Arial" w:eastAsia="Arial" w:hAnsi="Arial"/>
          <w:color w:val="404040"/>
          <w:sz w:val="22"/>
          <w:szCs w:val="22"/>
        </w:rPr>
        <w:t xml:space="preserve">Charte des droits et libertés de la personne du Québec</w:t>
      </w:r>
    </w:p>
    <w:p>
      <w:pPr>
        <w:pStyle w:val="ListParagraph"/>
        <w:numPr>
          <w:ilvl w:val="0"/>
          <w:numId w:val="2"/>
        </w:numPr>
      </w:pPr>
      <w:r>
        <w:rPr>
          <w:rFonts w:ascii="Arial" w:cs="Arial" w:eastAsia="Arial" w:hAnsi="Arial"/>
          <w:color w:val="404040"/>
          <w:sz w:val="22"/>
          <w:szCs w:val="22"/>
        </w:rPr>
        <w:t xml:space="preserve">Code civil du Québec - Responsabilité civile</w:t>
      </w:r>
    </w:p>
    <w:p>
      <w:pPr>
        <w:pStyle w:val="ListParagraph"/>
        <w:numPr>
          <w:ilvl w:val="0"/>
          <w:numId w:val="2"/>
        </w:numPr>
      </w:pPr>
      <w:r>
        <w:rPr>
          <w:rFonts w:ascii="Arial" w:cs="Arial" w:eastAsia="Arial" w:hAnsi="Arial"/>
          <w:color w:val="404040"/>
          <w:sz w:val="22"/>
          <w:szCs w:val="22"/>
        </w:rPr>
        <w:t xml:space="preserve">Recommandations du Conseil de l'innovation du Québec</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8"/>
              <w:bottom w:val="single" w:color="2E75B6" w:sz="2"/>
              <w:right w:val="single" w:color="2E75B6" w:sz="2"/>
            </w:tcBorders>
            <w:shd w:fill="D5E8F0" w:val="clear"/>
            <w:tcMar>
              <w:top w:type="dxa" w:w="100"/>
              <w:left w:type="dxa" w:w="200"/>
              <w:bottom w:type="dxa" w:w="100"/>
              <w:right w:type="dxa" w:w="200"/>
            </w:tcMar>
          </w:tcPr>
          <w:p>
            <w:pPr>
              <w:spacing w:after="60"/>
            </w:pPr>
            <w:r>
              <w:rPr>
                <w:rFonts w:ascii="Arial" w:cs="Arial" w:eastAsia="Arial" w:hAnsi="Arial"/>
                <w:b/>
                <w:bCs/>
                <w:color w:val="1B3A5C"/>
                <w:sz w:val="20"/>
                <w:szCs w:val="20"/>
              </w:rPr>
              <w:t xml:space="preserve">Note sur le cadre juridique québécois</w:t>
            </w:r>
          </w:p>
          <w:p>
            <w:pPr>
              <w:spacing w:after="0"/>
            </w:pPr>
            <w:r>
              <w:rPr>
                <w:rFonts w:ascii="Arial" w:cs="Arial" w:eastAsia="Arial" w:hAnsi="Arial"/>
                <w:color w:val="404040"/>
                <w:sz w:val="20"/>
                <w:szCs w:val="20"/>
              </w:rPr>
              <w:t xml:space="preserve">Les organisations opérant au Québec sont assujetties à la Loi 25 (protection des renseignements personnels), à la législation fédérale canadienne (C-27/LIAD en cours d'adoption), ainsi qu'au Règlement européen sur l'IA (EU AI Act) si elles traitent des données de résidents de l'UE. Le présent document intègre ces exigences de manière harmonisée.</w:t>
            </w:r>
          </w:p>
        </w:tc>
      </w:tr>
    </w:tbl>
    <w:p>
      <w:pPr>
        <w:spacing w:before="200"/>
      </w:pPr>
    </w:p>
    <w:p>
      <w:pPr>
        <w:pStyle w:val="Heading1"/>
      </w:pPr>
      <w:r>
        <w:t xml:space="preserve">Révision et gouvernance</w:t>
      </w:r>
    </w:p>
    <w:p>
      <w:r>
        <w:rPr>
          <w:rFonts w:ascii="Arial" w:cs="Arial" w:eastAsia="Arial" w:hAnsi="Arial"/>
          <w:color w:val="404040"/>
          <w:sz w:val="22"/>
          <w:szCs w:val="22"/>
        </w:rPr>
        <w:t xml:space="preserve">Le présent document fait l'objet d'une révision annuelle ou lors de tout changement significatif dans l'environnement réglementaire, technologique ou organisationnel.</w:t>
      </w:r>
    </w:p>
    <w:p>
      <w:pPr>
        <w:pStyle w:val="Heading2"/>
      </w:pPr>
      <w:r>
        <w:t xml:space="preserve">Critères déclenchant une révision anticipée</w:t>
      </w:r>
    </w:p>
    <w:p>
      <w:pPr>
        <w:pStyle w:val="ListParagraph"/>
        <w:numPr>
          <w:ilvl w:val="0"/>
          <w:numId w:val="2"/>
        </w:numPr>
      </w:pPr>
      <w:r>
        <w:rPr>
          <w:rFonts w:ascii="Arial" w:cs="Arial" w:eastAsia="Arial" w:hAnsi="Arial"/>
          <w:color w:val="404040"/>
          <w:sz w:val="22"/>
          <w:szCs w:val="22"/>
        </w:rPr>
        <w:t xml:space="preserve">Modification substantielle de la législation applicable (Loi 25, C-27/LIAD, EU AI Act)</w:t>
      </w:r>
    </w:p>
    <w:p>
      <w:pPr>
        <w:pStyle w:val="ListParagraph"/>
        <w:numPr>
          <w:ilvl w:val="0"/>
          <w:numId w:val="2"/>
        </w:numPr>
      </w:pPr>
      <w:r>
        <w:rPr>
          <w:rFonts w:ascii="Arial" w:cs="Arial" w:eastAsia="Arial" w:hAnsi="Arial"/>
          <w:color w:val="404040"/>
          <w:sz w:val="22"/>
          <w:szCs w:val="22"/>
        </w:rPr>
        <w:t xml:space="preserve">Incident majeur lié à l'IA au sein de l'organisation</w:t>
      </w:r>
    </w:p>
    <w:p>
      <w:pPr>
        <w:pStyle w:val="ListParagraph"/>
        <w:numPr>
          <w:ilvl w:val="0"/>
          <w:numId w:val="2"/>
        </w:numPr>
      </w:pPr>
      <w:r>
        <w:rPr>
          <w:rFonts w:ascii="Arial" w:cs="Arial" w:eastAsia="Arial" w:hAnsi="Arial"/>
          <w:color w:val="404040"/>
          <w:sz w:val="22"/>
          <w:szCs w:val="22"/>
        </w:rPr>
        <w:t xml:space="preserve">Changement organisationnel significatif (fusion, acquisition, restructuration)</w:t>
      </w:r>
    </w:p>
    <w:p>
      <w:pPr>
        <w:pStyle w:val="ListParagraph"/>
        <w:numPr>
          <w:ilvl w:val="0"/>
          <w:numId w:val="2"/>
        </w:numPr>
      </w:pPr>
      <w:r>
        <w:rPr>
          <w:rFonts w:ascii="Arial" w:cs="Arial" w:eastAsia="Arial" w:hAnsi="Arial"/>
          <w:color w:val="404040"/>
          <w:sz w:val="22"/>
          <w:szCs w:val="22"/>
        </w:rPr>
        <w:t xml:space="preserve">Évolution technologique majeure impactant les systèmes IA en place</w:t>
      </w:r>
    </w:p>
    <w:p>
      <w:pPr>
        <w:pStyle w:val="ListParagraph"/>
        <w:numPr>
          <w:ilvl w:val="0"/>
          <w:numId w:val="2"/>
        </w:numPr>
      </w:pPr>
      <w:r>
        <w:rPr>
          <w:rFonts w:ascii="Arial" w:cs="Arial" w:eastAsia="Arial" w:hAnsi="Arial"/>
          <w:color w:val="404040"/>
          <w:sz w:val="22"/>
          <w:szCs w:val="22"/>
        </w:rPr>
        <w:t xml:space="preserve">Recommandation issue d'un audit interne ou externe</w:t>
      </w:r>
    </w:p>
    <w:p>
      <w:pPr>
        <w:pStyle w:val="Heading2"/>
      </w:pPr>
      <w:r>
        <w:t xml:space="preserve">Processus de révision</w:t>
      </w:r>
    </w:p>
    <w:p>
      <w:pPr>
        <w:pStyle w:val="ListParagraph"/>
        <w:numPr>
          <w:ilvl w:val="0"/>
          <w:numId w:val="3"/>
        </w:numPr>
      </w:pPr>
      <w:r>
        <w:rPr>
          <w:rFonts w:ascii="Arial" w:cs="Arial" w:eastAsia="Arial" w:hAnsi="Arial"/>
          <w:color w:val="404040"/>
          <w:sz w:val="22"/>
          <w:szCs w:val="22"/>
        </w:rPr>
        <w:t xml:space="preserve">Le responsable du document initie la révision selon le calendrier établi</w:t>
      </w:r>
    </w:p>
    <w:p>
      <w:pPr>
        <w:pStyle w:val="ListParagraph"/>
        <w:numPr>
          <w:ilvl w:val="0"/>
          <w:numId w:val="3"/>
        </w:numPr>
      </w:pPr>
      <w:r>
        <w:rPr>
          <w:rFonts w:ascii="Arial" w:cs="Arial" w:eastAsia="Arial" w:hAnsi="Arial"/>
          <w:color w:val="404040"/>
          <w:sz w:val="22"/>
          <w:szCs w:val="22"/>
        </w:rPr>
        <w:t xml:space="preserve">Les parties prenantes sont consultées et fournissent leurs commentaires</w:t>
      </w:r>
    </w:p>
    <w:p>
      <w:pPr>
        <w:pStyle w:val="ListParagraph"/>
        <w:numPr>
          <w:ilvl w:val="0"/>
          <w:numId w:val="3"/>
        </w:numPr>
      </w:pPr>
      <w:r>
        <w:rPr>
          <w:rFonts w:ascii="Arial" w:cs="Arial" w:eastAsia="Arial" w:hAnsi="Arial"/>
          <w:color w:val="404040"/>
          <w:sz w:val="22"/>
          <w:szCs w:val="22"/>
        </w:rPr>
        <w:t xml:space="preserve">Les modifications sont documentées dans l'historique des versions</w:t>
      </w:r>
    </w:p>
    <w:p>
      <w:pPr>
        <w:pStyle w:val="ListParagraph"/>
        <w:numPr>
          <w:ilvl w:val="0"/>
          <w:numId w:val="3"/>
        </w:numPr>
      </w:pPr>
      <w:r>
        <w:rPr>
          <w:rFonts w:ascii="Arial" w:cs="Arial" w:eastAsia="Arial" w:hAnsi="Arial"/>
          <w:color w:val="404040"/>
          <w:sz w:val="22"/>
          <w:szCs w:val="22"/>
        </w:rPr>
        <w:t xml:space="preserve">Le document révisé est soumis à l'approbation de l'autorité compétente</w:t>
      </w:r>
    </w:p>
    <w:p>
      <w:pPr>
        <w:pStyle w:val="ListParagraph"/>
        <w:numPr>
          <w:ilvl w:val="0"/>
          <w:numId w:val="3"/>
        </w:numPr>
      </w:pPr>
      <w:r>
        <w:rPr>
          <w:rFonts w:ascii="Arial" w:cs="Arial" w:eastAsia="Arial" w:hAnsi="Arial"/>
          <w:color w:val="404040"/>
          <w:sz w:val="22"/>
          <w:szCs w:val="22"/>
        </w:rPr>
        <w:t xml:space="preserve">La version approuvée est diffusée et les parties prenantes sont informées</w:t>
      </w:r>
    </w:p>
    <w:p>
      <w:pPr>
        <w:spacing w:before="20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spacing w:before="0"/>
    </w:pPr>
    <w:r>
      <w:rPr>
        <w:rFonts w:ascii="Arial" w:cs="Arial" w:eastAsia="Arial" w:hAnsi="Arial"/>
        <w:color w:val="666666"/>
        <w:sz w:val="14"/>
        <w:szCs w:val="14"/>
      </w:rPr>
      <w:t xml:space="preserve">Document confidentiel - [NOM_ORGANISATION]</w:t>
    </w:r>
    <w:r>
      <w:rPr>
        <w:rFonts w:ascii="Arial" w:cs="Arial" w:eastAsia="Arial" w:hAnsi="Arial"/>
        <w:color w:val="666666"/>
        <w:sz w:val="14"/>
        <w:szCs w:val="14"/>
      </w:rPr>
      <w:t xml:space="preserve">	Page </w:t>
    </w:r>
    <w:r>
      <w:rPr>
        <w:rFonts w:ascii="Arial" w:cs="Arial" w:eastAsia="Arial" w:hAnsi="Arial"/>
        <w:color w:val="66666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0"/>
    </w:pPr>
    <w:r>
      <w:rPr>
        <w:rFonts w:ascii="Arial" w:cs="Arial" w:eastAsia="Arial" w:hAnsi="Arial"/>
        <w:color w:val="666666"/>
        <w:sz w:val="16"/>
        <w:szCs w:val="16"/>
      </w:rPr>
      <w:t xml:space="preserve">[NOM_ORGANISATION]</w:t>
    </w:r>
    <w:r>
      <w:rPr>
        <w:rFonts w:ascii="Arial" w:cs="Arial" w:eastAsia="Arial" w:hAnsi="Arial"/>
        <w:i/>
        <w:iCs/>
        <w:color w:val="2E75B6"/>
        <w:sz w:val="16"/>
        <w:szCs w:val="16"/>
      </w:rPr>
      <w:t xml:space="preserve">	Grille d'évaluation des fournisseurs 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2"/>
        <w:szCs w:val="22"/>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2026-03-05T02:14:25.342Z</dcterms:created>
  <dcterms:modified xsi:type="dcterms:W3CDTF">2026-03-05T02:14:25.342Z</dcterms:modified>
</cp:coreProperties>
</file>

<file path=docProps/custom.xml><?xml version="1.0" encoding="utf-8"?>
<Properties xmlns="http://schemas.openxmlformats.org/officeDocument/2006/custom-properties" xmlns:vt="http://schemas.openxmlformats.org/officeDocument/2006/docPropsVTypes"/>
</file>