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Clauses contractuelles types pour l'IA</w:t>
      </w:r>
    </w:p>
    <w:p>
      <w:pPr>
        <w:spacing w:after="600"/>
        <w:jc w:val="center"/>
      </w:pPr>
      <w:r>
        <w:rPr>
          <w:rFonts w:ascii="Arial" w:cs="Arial" w:eastAsia="Arial" w:hAnsi="Arial"/>
          <w:color w:val="2E75B6"/>
          <w:sz w:val="24"/>
          <w:szCs w:val="24"/>
        </w:rPr>
        <w:t xml:space="preserve">Clauses standards et pre-redigees pour contrats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principes</w:t>
      </w:r>
    </w:p>
    <w:p>
      <w:r>
        <w:rPr>
          <w:rFonts w:ascii="Arial" w:cs="Arial" w:eastAsia="Arial" w:hAnsi="Arial"/>
          <w:color w:val="404040"/>
          <w:sz w:val="22"/>
          <w:szCs w:val="22"/>
        </w:rPr>
        <w:t xml:space="preserve">Les présentes clauses contractuelles types sont destinees a être integrees dans les contrats d'acquisition ou d'utilisation de solutions d'intelligence artificielle. Elles protegent les interets de [NOM_ORGANISATION] tout en etablissant une relation claire avec le fournisseur.</w:t>
      </w:r>
    </w:p>
    <w:p>
      <w:pPr>
        <w:pStyle w:val="Heading2"/>
      </w:pPr>
      <w:r>
        <w:t xml:space="preserve">Principes directeurs</w:t>
      </w:r>
    </w:p>
    <w:p>
      <w:pPr>
        <w:pStyle w:val="ListParagraph"/>
        <w:numPr>
          <w:ilvl w:val="0"/>
          <w:numId w:val="2"/>
        </w:numPr>
      </w:pPr>
      <w:r>
        <w:rPr>
          <w:rFonts w:ascii="Arial" w:cs="Arial" w:eastAsia="Arial" w:hAnsi="Arial"/>
          <w:color w:val="404040"/>
          <w:sz w:val="22"/>
          <w:szCs w:val="22"/>
        </w:rPr>
        <w:t xml:space="preserve">Protection de [NOM_ORGANISATION] et de ses données</w:t>
      </w:r>
    </w:p>
    <w:p>
      <w:pPr>
        <w:pStyle w:val="ListParagraph"/>
        <w:numPr>
          <w:ilvl w:val="0"/>
          <w:numId w:val="2"/>
        </w:numPr>
      </w:pPr>
      <w:r>
        <w:rPr>
          <w:rFonts w:ascii="Arial" w:cs="Arial" w:eastAsia="Arial" w:hAnsi="Arial"/>
          <w:color w:val="404040"/>
          <w:sz w:val="22"/>
          <w:szCs w:val="22"/>
        </w:rPr>
        <w:t xml:space="preserve">Conformite avec la Loi 25, PIPEDA, et autres normes applicables</w:t>
      </w:r>
    </w:p>
    <w:p>
      <w:pPr>
        <w:pStyle w:val="ListParagraph"/>
        <w:numPr>
          <w:ilvl w:val="0"/>
          <w:numId w:val="2"/>
        </w:numPr>
      </w:pPr>
      <w:r>
        <w:rPr>
          <w:rFonts w:ascii="Arial" w:cs="Arial" w:eastAsia="Arial" w:hAnsi="Arial"/>
          <w:color w:val="404040"/>
          <w:sz w:val="22"/>
          <w:szCs w:val="22"/>
        </w:rPr>
        <w:t xml:space="preserve">Clarte des responsabilités et obligations</w:t>
      </w:r>
    </w:p>
    <w:p>
      <w:pPr>
        <w:pStyle w:val="ListParagraph"/>
        <w:numPr>
          <w:ilvl w:val="0"/>
          <w:numId w:val="2"/>
        </w:numPr>
      </w:pPr>
      <w:r>
        <w:rPr>
          <w:rFonts w:ascii="Arial" w:cs="Arial" w:eastAsia="Arial" w:hAnsi="Arial"/>
          <w:color w:val="404040"/>
          <w:sz w:val="22"/>
          <w:szCs w:val="22"/>
        </w:rPr>
        <w:t xml:space="preserve">Preservation des droits de [NOM_ORGANISATION]</w:t>
      </w:r>
    </w:p>
    <w:p>
      <w:pPr>
        <w:pStyle w:val="ListParagraph"/>
        <w:numPr>
          <w:ilvl w:val="0"/>
          <w:numId w:val="2"/>
        </w:numPr>
      </w:pPr>
      <w:r>
        <w:rPr>
          <w:rFonts w:ascii="Arial" w:cs="Arial" w:eastAsia="Arial" w:hAnsi="Arial"/>
          <w:color w:val="404040"/>
          <w:sz w:val="22"/>
          <w:szCs w:val="22"/>
        </w:rPr>
        <w:t xml:space="preserve">Flexibilite pour adaptation selon les besoins spécifiques</w:t>
      </w:r>
    </w:p>
    <w:p>
      <w:r>
        <w:br w:type="page"/>
      </w:r>
    </w:p>
    <w:p>
      <w:pPr>
        <w:pStyle w:val="Heading1"/>
      </w:pPr>
      <w:r>
        <w:t xml:space="preserve">Clauses standards</w:t>
      </w:r>
    </w:p>
    <w:p>
      <w:pPr>
        <w:pStyle w:val="Heading2"/>
      </w:pPr>
      <w:r>
        <w:t xml:space="preserve">1. Propriete des données</w:t>
      </w:r>
    </w:p>
    <w:p>
      <w:pPr>
        <w:pStyle w:val="Heading3"/>
      </w:pPr>
      <w:r>
        <w:t xml:space="preserve">1.1 Propriete et contrôle</w:t>
      </w:r>
    </w:p>
    <w:p>
      <w:r>
        <w:rPr>
          <w:rFonts w:ascii="Arial" w:cs="Arial" w:eastAsia="Arial" w:hAnsi="Arial"/>
          <w:color w:val="404040"/>
          <w:sz w:val="22"/>
          <w:szCs w:val="22"/>
        </w:rPr>
        <w:t xml:space="preserve">Le Fournisseur reconnait que toutes les données fournies par [NOM_ORGANISATION], y compris les données personnelles, proprietes intellectuelles, et données commerciales confidentielles, demeurent la propriete exclusive et sous le contrôle de [NOM_ORGANISATION]. Le Fournisseur n'acquiert aucun droit de propriete sur ces données.</w:t>
      </w:r>
    </w:p>
    <w:p>
      <w:pPr>
        <w:pStyle w:val="Heading3"/>
      </w:pPr>
      <w:r>
        <w:t xml:space="preserve">1.2 Utilisation des données</w:t>
      </w:r>
    </w:p>
    <w:p>
      <w:r>
        <w:rPr>
          <w:rFonts w:ascii="Arial" w:cs="Arial" w:eastAsia="Arial" w:hAnsi="Arial"/>
          <w:color w:val="404040"/>
          <w:sz w:val="22"/>
          <w:szCs w:val="22"/>
        </w:rPr>
        <w:t xml:space="preserve">Le Fournisseur utilise les données uniquement aux fins expressement autorisees par [NOM_ORGANISATION] dans le présent contrat. Toute autre utilisation, y compris pour entrainement de modeles, est expressement interdite sauf avec consentement ecrit prealable.</w:t>
      </w:r>
    </w:p>
    <w:p>
      <w:pPr>
        <w:pStyle w:val="Heading3"/>
      </w:pPr>
      <w:r>
        <w:t xml:space="preserve">1.3 Données d'entrainement</w:t>
      </w:r>
    </w:p>
    <w:p>
      <w:r>
        <w:rPr>
          <w:rFonts w:ascii="Arial" w:cs="Arial" w:eastAsia="Arial" w:hAnsi="Arial"/>
          <w:color w:val="404040"/>
          <w:sz w:val="22"/>
          <w:szCs w:val="22"/>
        </w:rPr>
        <w:t xml:space="preserve">Si le Fournisseur utilise les données de [NOM_ORGANISATION] pour entrainement ou amelioration de ses services, les points suivants s'appliquent :</w:t>
      </w:r>
    </w:p>
    <w:p>
      <w:pPr>
        <w:pStyle w:val="ListParagraph"/>
        <w:numPr>
          <w:ilvl w:val="0"/>
          <w:numId w:val="2"/>
        </w:numPr>
      </w:pPr>
      <w:r>
        <w:rPr>
          <w:rFonts w:ascii="Arial" w:cs="Arial" w:eastAsia="Arial" w:hAnsi="Arial"/>
          <w:color w:val="404040"/>
          <w:sz w:val="22"/>
          <w:szCs w:val="22"/>
        </w:rPr>
        <w:t xml:space="preserve">[NOM_ORGANISATION] conserve tous les droits de propriete intellectuelle sur les données</w:t>
      </w:r>
    </w:p>
    <w:p>
      <w:pPr>
        <w:pStyle w:val="ListParagraph"/>
        <w:numPr>
          <w:ilvl w:val="0"/>
          <w:numId w:val="2"/>
        </w:numPr>
      </w:pPr>
      <w:r>
        <w:rPr>
          <w:rFonts w:ascii="Arial" w:cs="Arial" w:eastAsia="Arial" w:hAnsi="Arial"/>
          <w:color w:val="404040"/>
          <w:sz w:val="22"/>
          <w:szCs w:val="22"/>
        </w:rPr>
        <w:t xml:space="preserve">Le Fournisseur offre un mecanisme pour [NOM_ORGANISATION] d'exclure ses données de l'entrainement</w:t>
      </w:r>
    </w:p>
    <w:p>
      <w:pPr>
        <w:pStyle w:val="ListParagraph"/>
        <w:numPr>
          <w:ilvl w:val="0"/>
          <w:numId w:val="2"/>
        </w:numPr>
      </w:pPr>
      <w:r>
        <w:rPr>
          <w:rFonts w:ascii="Arial" w:cs="Arial" w:eastAsia="Arial" w:hAnsi="Arial"/>
          <w:color w:val="404040"/>
          <w:sz w:val="22"/>
          <w:szCs w:val="22"/>
        </w:rPr>
        <w:t xml:space="preserve">Tout modele ou produit resultant de l'entrainement beneficie a [NOM_ORGANISATION]</w:t>
      </w:r>
    </w:p>
    <w:p>
      <w:pPr>
        <w:pStyle w:val="ListParagraph"/>
        <w:numPr>
          <w:ilvl w:val="0"/>
          <w:numId w:val="2"/>
        </w:numPr>
      </w:pPr>
      <w:r>
        <w:rPr>
          <w:rFonts w:ascii="Arial" w:cs="Arial" w:eastAsia="Arial" w:hAnsi="Arial"/>
          <w:color w:val="404040"/>
          <w:sz w:val="22"/>
          <w:szCs w:val="22"/>
        </w:rPr>
        <w:t xml:space="preserve">Utilisation pour entrainement limitee aux modeles personnalises pour [NOM_ORGANISATION]</w:t>
      </w:r>
    </w:p>
    <w:p>
      <w:pPr>
        <w:pStyle w:val="Heading2"/>
      </w:pPr>
      <w:r>
        <w:t xml:space="preserve">2. Confidentialite et sécurité</w:t>
      </w:r>
    </w:p>
    <w:p>
      <w:pPr>
        <w:pStyle w:val="Heading3"/>
      </w:pPr>
      <w:r>
        <w:t xml:space="preserve">2.1 Obligations de confidentialité</w:t>
      </w:r>
    </w:p>
    <w:p>
      <w:r>
        <w:rPr>
          <w:rFonts w:ascii="Arial" w:cs="Arial" w:eastAsia="Arial" w:hAnsi="Arial"/>
          <w:color w:val="404040"/>
          <w:sz w:val="22"/>
          <w:szCs w:val="22"/>
        </w:rPr>
        <w:t xml:space="preserve">Le Fournisseur s'engage a maintenir la confidentialité de toutes les données de [NOM_ORGANISATION] et a ne pas les divulguer a des tiers sans autorisation ecrite prealable. Cette obligation persiste au-dela de la periode contractuelle.</w:t>
      </w:r>
    </w:p>
    <w:p>
      <w:pPr>
        <w:pStyle w:val="Heading3"/>
      </w:pPr>
      <w:r>
        <w:t xml:space="preserve">2.2 Standards de sécurité</w:t>
      </w:r>
    </w:p>
    <w:p>
      <w:r>
        <w:rPr>
          <w:rFonts w:ascii="Arial" w:cs="Arial" w:eastAsia="Arial" w:hAnsi="Arial"/>
          <w:color w:val="404040"/>
          <w:sz w:val="22"/>
          <w:szCs w:val="22"/>
        </w:rPr>
        <w:t xml:space="preserve">Le Fournisseur implemente et maintient les standards de sécurité minimums suivants :</w:t>
      </w:r>
    </w:p>
    <w:p>
      <w:pPr>
        <w:pStyle w:val="ListParagraph"/>
        <w:numPr>
          <w:ilvl w:val="0"/>
          <w:numId w:val="2"/>
        </w:numPr>
      </w:pPr>
      <w:r>
        <w:rPr>
          <w:rFonts w:ascii="Arial" w:cs="Arial" w:eastAsia="Arial" w:hAnsi="Arial"/>
          <w:color w:val="404040"/>
          <w:sz w:val="22"/>
          <w:szCs w:val="22"/>
        </w:rPr>
        <w:t xml:space="preserve">Chiffrement des données en transit (TLS 1.3 ou equivalent) et au repos (AES-256 ou equivalent)</w:t>
      </w:r>
    </w:p>
    <w:p>
      <w:pPr>
        <w:pStyle w:val="ListParagraph"/>
        <w:numPr>
          <w:ilvl w:val="0"/>
          <w:numId w:val="2"/>
        </w:numPr>
      </w:pPr>
      <w:r>
        <w:rPr>
          <w:rFonts w:ascii="Arial" w:cs="Arial" w:eastAsia="Arial" w:hAnsi="Arial"/>
          <w:color w:val="404040"/>
          <w:sz w:val="22"/>
          <w:szCs w:val="22"/>
        </w:rPr>
        <w:t xml:space="preserve">Authentification multi-facteurs pour tous les accès administrateur</w:t>
      </w:r>
    </w:p>
    <w:p>
      <w:pPr>
        <w:pStyle w:val="ListParagraph"/>
        <w:numPr>
          <w:ilvl w:val="0"/>
          <w:numId w:val="2"/>
        </w:numPr>
      </w:pPr>
      <w:r>
        <w:rPr>
          <w:rFonts w:ascii="Arial" w:cs="Arial" w:eastAsia="Arial" w:hAnsi="Arial"/>
          <w:color w:val="404040"/>
          <w:sz w:val="22"/>
          <w:szCs w:val="22"/>
        </w:rPr>
        <w:t xml:space="preserve">Audit et journalisation complets de tous les accès et modifications</w:t>
      </w:r>
    </w:p>
    <w:p>
      <w:pPr>
        <w:pStyle w:val="ListParagraph"/>
        <w:numPr>
          <w:ilvl w:val="0"/>
          <w:numId w:val="2"/>
        </w:numPr>
      </w:pPr>
      <w:r>
        <w:rPr>
          <w:rFonts w:ascii="Arial" w:cs="Arial" w:eastAsia="Arial" w:hAnsi="Arial"/>
          <w:color w:val="404040"/>
          <w:sz w:val="22"/>
          <w:szCs w:val="22"/>
        </w:rPr>
        <w:t xml:space="preserve">Tests de sécurité reguliers (pentest, code review, vulnerability scanning)</w:t>
      </w:r>
    </w:p>
    <w:p>
      <w:pPr>
        <w:pStyle w:val="ListParagraph"/>
        <w:numPr>
          <w:ilvl w:val="0"/>
          <w:numId w:val="2"/>
        </w:numPr>
      </w:pPr>
      <w:r>
        <w:rPr>
          <w:rFonts w:ascii="Arial" w:cs="Arial" w:eastAsia="Arial" w:hAnsi="Arial"/>
          <w:color w:val="404040"/>
          <w:sz w:val="22"/>
          <w:szCs w:val="22"/>
        </w:rPr>
        <w:t xml:space="preserve">Segregation logique ou physique des données de [NOM_ORGANISATION]</w:t>
      </w:r>
    </w:p>
    <w:p>
      <w:pPr>
        <w:pStyle w:val="ListParagraph"/>
        <w:numPr>
          <w:ilvl w:val="0"/>
          <w:numId w:val="2"/>
        </w:numPr>
      </w:pPr>
      <w:r>
        <w:rPr>
          <w:rFonts w:ascii="Arial" w:cs="Arial" w:eastAsia="Arial" w:hAnsi="Arial"/>
          <w:color w:val="404040"/>
          <w:sz w:val="22"/>
          <w:szCs w:val="22"/>
        </w:rPr>
        <w:t xml:space="preserve">Conformite avec ISO/IEC 27001 ou certification equivalente</w:t>
      </w:r>
    </w:p>
    <w:p>
      <w:pPr>
        <w:pStyle w:val="Heading3"/>
      </w:pPr>
      <w:r>
        <w:t xml:space="preserve">2.3 Incident de sécurité</w:t>
      </w:r>
    </w:p>
    <w:p>
      <w:r>
        <w:rPr>
          <w:rFonts w:ascii="Arial" w:cs="Arial" w:eastAsia="Arial" w:hAnsi="Arial"/>
          <w:color w:val="404040"/>
          <w:sz w:val="22"/>
          <w:szCs w:val="22"/>
        </w:rPr>
        <w:t xml:space="preserve">Le Fournisseur notifie [NOM_ORGANISATION] de tout incident de sécurité impliquant les données de [NOM_ORGANISATION] dans les 24 heures suivant la decouverte. La notification inclut :</w:t>
      </w:r>
    </w:p>
    <w:p>
      <w:pPr>
        <w:pStyle w:val="ListParagraph"/>
        <w:numPr>
          <w:ilvl w:val="0"/>
          <w:numId w:val="2"/>
        </w:numPr>
      </w:pPr>
      <w:r>
        <w:rPr>
          <w:rFonts w:ascii="Arial" w:cs="Arial" w:eastAsia="Arial" w:hAnsi="Arial"/>
          <w:color w:val="404040"/>
          <w:sz w:val="22"/>
          <w:szCs w:val="22"/>
        </w:rPr>
        <w:t xml:space="preserve">Description de l'incident et données affectees</w:t>
      </w:r>
    </w:p>
    <w:p>
      <w:pPr>
        <w:pStyle w:val="ListParagraph"/>
        <w:numPr>
          <w:ilvl w:val="0"/>
          <w:numId w:val="2"/>
        </w:numPr>
      </w:pPr>
      <w:r>
        <w:rPr>
          <w:rFonts w:ascii="Arial" w:cs="Arial" w:eastAsia="Arial" w:hAnsi="Arial"/>
          <w:color w:val="404040"/>
          <w:sz w:val="22"/>
          <w:szCs w:val="22"/>
        </w:rPr>
        <w:t xml:space="preserve">Impact potentiel et mesures de mitigation</w:t>
      </w:r>
    </w:p>
    <w:p>
      <w:pPr>
        <w:pStyle w:val="ListParagraph"/>
        <w:numPr>
          <w:ilvl w:val="0"/>
          <w:numId w:val="2"/>
        </w:numPr>
      </w:pPr>
      <w:r>
        <w:rPr>
          <w:rFonts w:ascii="Arial" w:cs="Arial" w:eastAsia="Arial" w:hAnsi="Arial"/>
          <w:color w:val="404040"/>
          <w:sz w:val="22"/>
          <w:szCs w:val="22"/>
        </w:rPr>
        <w:t xml:space="preserve">Actions correctives implementees</w:t>
      </w:r>
    </w:p>
    <w:p>
      <w:pPr>
        <w:pStyle w:val="ListParagraph"/>
        <w:numPr>
          <w:ilvl w:val="0"/>
          <w:numId w:val="2"/>
        </w:numPr>
      </w:pPr>
      <w:r>
        <w:rPr>
          <w:rFonts w:ascii="Arial" w:cs="Arial" w:eastAsia="Arial" w:hAnsi="Arial"/>
          <w:color w:val="404040"/>
          <w:sz w:val="22"/>
          <w:szCs w:val="22"/>
        </w:rPr>
        <w:t xml:space="preserve">Assistance dans les notifications réglementaires requises</w:t>
      </w:r>
    </w:p>
    <w:p>
      <w:pPr>
        <w:pStyle w:val="Heading2"/>
      </w:pPr>
      <w:r>
        <w:t xml:space="preserve">3. Conformite réglementaire</w:t>
      </w:r>
    </w:p>
    <w:p>
      <w:pPr>
        <w:pStyle w:val="Heading3"/>
      </w:pPr>
      <w:r>
        <w:t xml:space="preserve">3.1 Accord de traitement - Loi 25</w:t>
      </w:r>
    </w:p>
    <w:p>
      <w:r>
        <w:rPr>
          <w:rFonts w:ascii="Arial" w:cs="Arial" w:eastAsia="Arial" w:hAnsi="Arial"/>
          <w:color w:val="404040"/>
          <w:sz w:val="22"/>
          <w:szCs w:val="22"/>
        </w:rPr>
        <w:t xml:space="preserve">Puisque le Fournisseur traite des données personnelles pour le compte de [NOM_ORGANISATION], un Accord de traitement conforme a la Loi 25 du Quebec est annexe au présent contrat. Cet accord spécifié :</w:t>
      </w:r>
    </w:p>
    <w:p>
      <w:pPr>
        <w:pStyle w:val="ListParagraph"/>
        <w:numPr>
          <w:ilvl w:val="0"/>
          <w:numId w:val="2"/>
        </w:numPr>
      </w:pPr>
      <w:r>
        <w:rPr>
          <w:rFonts w:ascii="Arial" w:cs="Arial" w:eastAsia="Arial" w:hAnsi="Arial"/>
          <w:color w:val="404040"/>
          <w:sz w:val="22"/>
          <w:szCs w:val="22"/>
        </w:rPr>
        <w:t xml:space="preserve">Les categories de données traitees et les personnes concernees</w:t>
      </w:r>
    </w:p>
    <w:p>
      <w:pPr>
        <w:pStyle w:val="ListParagraph"/>
        <w:numPr>
          <w:ilvl w:val="0"/>
          <w:numId w:val="2"/>
        </w:numPr>
      </w:pPr>
      <w:r>
        <w:rPr>
          <w:rFonts w:ascii="Arial" w:cs="Arial" w:eastAsia="Arial" w:hAnsi="Arial"/>
          <w:color w:val="404040"/>
          <w:sz w:val="22"/>
          <w:szCs w:val="22"/>
        </w:rPr>
        <w:t xml:space="preserve">Les finalites du traitement</w:t>
      </w:r>
    </w:p>
    <w:p>
      <w:pPr>
        <w:pStyle w:val="ListParagraph"/>
        <w:numPr>
          <w:ilvl w:val="0"/>
          <w:numId w:val="2"/>
        </w:numPr>
      </w:pPr>
      <w:r>
        <w:rPr>
          <w:rFonts w:ascii="Arial" w:cs="Arial" w:eastAsia="Arial" w:hAnsi="Arial"/>
          <w:color w:val="404040"/>
          <w:sz w:val="22"/>
          <w:szCs w:val="22"/>
        </w:rPr>
        <w:t xml:space="preserve">Les droits des personnes concernees (accès, correction, suppression)</w:t>
      </w:r>
    </w:p>
    <w:p>
      <w:pPr>
        <w:pStyle w:val="ListParagraph"/>
        <w:numPr>
          <w:ilvl w:val="0"/>
          <w:numId w:val="2"/>
        </w:numPr>
      </w:pPr>
      <w:r>
        <w:rPr>
          <w:rFonts w:ascii="Arial" w:cs="Arial" w:eastAsia="Arial" w:hAnsi="Arial"/>
          <w:color w:val="404040"/>
          <w:sz w:val="22"/>
          <w:szCs w:val="22"/>
        </w:rPr>
        <w:t xml:space="preserve">Mesures de sécurité et confidentialité</w:t>
      </w:r>
    </w:p>
    <w:p>
      <w:pPr>
        <w:pStyle w:val="ListParagraph"/>
        <w:numPr>
          <w:ilvl w:val="0"/>
          <w:numId w:val="2"/>
        </w:numPr>
      </w:pPr>
      <w:r>
        <w:rPr>
          <w:rFonts w:ascii="Arial" w:cs="Arial" w:eastAsia="Arial" w:hAnsi="Arial"/>
          <w:color w:val="404040"/>
          <w:sz w:val="22"/>
          <w:szCs w:val="22"/>
        </w:rPr>
        <w:t xml:space="preserve">Duree du traitement et destruction des données</w:t>
      </w:r>
    </w:p>
    <w:p>
      <w:pPr>
        <w:pStyle w:val="Heading3"/>
      </w:pPr>
      <w:r>
        <w:t xml:space="preserve">3.2 Conformite PIPEDA (Federal)</w:t>
      </w:r>
    </w:p>
    <w:p>
      <w:r>
        <w:rPr>
          <w:rFonts w:ascii="Arial" w:cs="Arial" w:eastAsia="Arial" w:hAnsi="Arial"/>
          <w:color w:val="404040"/>
          <w:sz w:val="22"/>
          <w:szCs w:val="22"/>
        </w:rPr>
        <w:t xml:space="preserve">Le Fournisseur se conforme au PIPEDA (Loi sur la protection des renseignements personnels et les documents electroniques) dans tous ses traitements de données personnelles de residents canadiens. En particulier :</w:t>
      </w:r>
    </w:p>
    <w:p>
      <w:pPr>
        <w:pStyle w:val="ListParagraph"/>
        <w:numPr>
          <w:ilvl w:val="0"/>
          <w:numId w:val="2"/>
        </w:numPr>
      </w:pPr>
      <w:r>
        <w:rPr>
          <w:rFonts w:ascii="Arial" w:cs="Arial" w:eastAsia="Arial" w:hAnsi="Arial"/>
          <w:color w:val="404040"/>
          <w:sz w:val="22"/>
          <w:szCs w:val="22"/>
        </w:rPr>
        <w:t xml:space="preserve">Recueil du consentement explicite pour tout traitement</w:t>
      </w:r>
    </w:p>
    <w:p>
      <w:pPr>
        <w:pStyle w:val="ListParagraph"/>
        <w:numPr>
          <w:ilvl w:val="0"/>
          <w:numId w:val="2"/>
        </w:numPr>
      </w:pPr>
      <w:r>
        <w:rPr>
          <w:rFonts w:ascii="Arial" w:cs="Arial" w:eastAsia="Arial" w:hAnsi="Arial"/>
          <w:color w:val="404040"/>
          <w:sz w:val="22"/>
          <w:szCs w:val="22"/>
        </w:rPr>
        <w:t xml:space="preserve">Fourniture d'une politique de confidentialité claire et transparente</w:t>
      </w:r>
    </w:p>
    <w:p>
      <w:pPr>
        <w:pStyle w:val="ListParagraph"/>
        <w:numPr>
          <w:ilvl w:val="0"/>
          <w:numId w:val="2"/>
        </w:numPr>
      </w:pPr>
      <w:r>
        <w:rPr>
          <w:rFonts w:ascii="Arial" w:cs="Arial" w:eastAsia="Arial" w:hAnsi="Arial"/>
          <w:color w:val="404040"/>
          <w:sz w:val="22"/>
          <w:szCs w:val="22"/>
        </w:rPr>
        <w:t xml:space="preserve">Droit d'accès aux données personnelles pour les individus</w:t>
      </w:r>
    </w:p>
    <w:p>
      <w:pPr>
        <w:pStyle w:val="ListParagraph"/>
        <w:numPr>
          <w:ilvl w:val="0"/>
          <w:numId w:val="2"/>
        </w:numPr>
      </w:pPr>
      <w:r>
        <w:rPr>
          <w:rFonts w:ascii="Arial" w:cs="Arial" w:eastAsia="Arial" w:hAnsi="Arial"/>
          <w:color w:val="404040"/>
          <w:sz w:val="22"/>
          <w:szCs w:val="22"/>
        </w:rPr>
        <w:t xml:space="preserve">Limitation de l'utilisation secondaire des données</w:t>
      </w:r>
    </w:p>
    <w:p>
      <w:pPr>
        <w:pStyle w:val="Heading3"/>
      </w:pPr>
      <w:r>
        <w:t xml:space="preserve">3.3 Conformite RGPD (si applicable)</w:t>
      </w:r>
    </w:p>
    <w:p>
      <w:r>
        <w:rPr>
          <w:rFonts w:ascii="Arial" w:cs="Arial" w:eastAsia="Arial" w:hAnsi="Arial"/>
          <w:color w:val="404040"/>
          <w:sz w:val="22"/>
          <w:szCs w:val="22"/>
        </w:rPr>
        <w:t xml:space="preserve">Si les données incluent des residents de l'Union europeenne, le Fournisseur se conforme au RGPD et etablit une adéquation juridique pour les transferts internationaux (Standard Contractual Clauses ou autre mecanisme légal).</w:t>
      </w:r>
    </w:p>
    <w:p>
      <w:pPr>
        <w:pStyle w:val="Heading3"/>
      </w:pPr>
      <w:r>
        <w:t xml:space="preserve">3.4 Données de mineurs</w:t>
      </w:r>
    </w:p>
    <w:p>
      <w:r>
        <w:rPr>
          <w:rFonts w:ascii="Arial" w:cs="Arial" w:eastAsia="Arial" w:hAnsi="Arial"/>
          <w:color w:val="404040"/>
          <w:sz w:val="22"/>
          <w:szCs w:val="22"/>
        </w:rPr>
        <w:t xml:space="preserve">Le Fournisseur ne traite pas de données personnelles de personnes de moins de 18 ans sans consentement prealable verifiable des representants légaux. Tous les systemes doivent comporter des garde-fous pour proteger les mineurs.</w:t>
      </w:r>
    </w:p>
    <w:p>
      <w:r>
        <w:br w:type="page"/>
      </w:r>
    </w:p>
    <w:p>
      <w:pPr>
        <w:pStyle w:val="Heading2"/>
      </w:pPr>
      <w:r>
        <w:t xml:space="preserve">4. Droits d'audit et d'inspection</w:t>
      </w:r>
    </w:p>
    <w:p>
      <w:pPr>
        <w:pStyle w:val="Heading3"/>
      </w:pPr>
      <w:r>
        <w:t xml:space="preserve">4.1 Droit d'audit</w:t>
      </w:r>
    </w:p>
    <w:p>
      <w:r>
        <w:rPr>
          <w:rFonts w:ascii="Arial" w:cs="Arial" w:eastAsia="Arial" w:hAnsi="Arial"/>
          <w:color w:val="404040"/>
          <w:sz w:val="22"/>
          <w:szCs w:val="22"/>
        </w:rPr>
        <w:t xml:space="preserve">[NOM_ORGANISATION] se reserve le droit d'auditer les systemes et processus du Fournisseur afin de vérifier la conformité avec le présent contrat et les obligations légales. Cet audit peut être :</w:t>
      </w:r>
    </w:p>
    <w:p>
      <w:pPr>
        <w:pStyle w:val="ListParagraph"/>
        <w:numPr>
          <w:ilvl w:val="0"/>
          <w:numId w:val="2"/>
        </w:numPr>
      </w:pPr>
      <w:r>
        <w:rPr>
          <w:rFonts w:ascii="Arial" w:cs="Arial" w:eastAsia="Arial" w:hAnsi="Arial"/>
          <w:color w:val="404040"/>
          <w:sz w:val="22"/>
          <w:szCs w:val="22"/>
        </w:rPr>
        <w:t xml:space="preserve">Interne: Équipe de [NOM_ORGANISATION]</w:t>
      </w:r>
    </w:p>
    <w:p>
      <w:pPr>
        <w:pStyle w:val="ListParagraph"/>
        <w:numPr>
          <w:ilvl w:val="0"/>
          <w:numId w:val="2"/>
        </w:numPr>
      </w:pPr>
      <w:r>
        <w:rPr>
          <w:rFonts w:ascii="Arial" w:cs="Arial" w:eastAsia="Arial" w:hAnsi="Arial"/>
          <w:color w:val="404040"/>
          <w:sz w:val="22"/>
          <w:szCs w:val="22"/>
        </w:rPr>
        <w:t xml:space="preserve">Externe: Auditeur externe independant designe par [NOM_ORGANISATION]</w:t>
      </w:r>
    </w:p>
    <w:p>
      <w:pPr>
        <w:pStyle w:val="ListParagraph"/>
        <w:numPr>
          <w:ilvl w:val="0"/>
          <w:numId w:val="2"/>
        </w:numPr>
      </w:pPr>
      <w:r>
        <w:rPr>
          <w:rFonts w:ascii="Arial" w:cs="Arial" w:eastAsia="Arial" w:hAnsi="Arial"/>
          <w:color w:val="404040"/>
          <w:sz w:val="22"/>
          <w:szCs w:val="22"/>
        </w:rPr>
        <w:t xml:space="preserve">Tiers: Audit de conformité par le fournisseur lui-meme ou un tiers certifie</w:t>
      </w:r>
    </w:p>
    <w:p>
      <w:pPr>
        <w:pStyle w:val="Heading3"/>
      </w:pPr>
      <w:r>
        <w:t xml:space="preserve">4.2 Frequence et procedure</w:t>
      </w:r>
    </w:p>
    <w:p>
      <w:r>
        <w:rPr>
          <w:rFonts w:ascii="Arial" w:cs="Arial" w:eastAsia="Arial" w:hAnsi="Arial"/>
          <w:color w:val="404040"/>
          <w:sz w:val="22"/>
          <w:szCs w:val="22"/>
        </w:rPr>
        <w:t xml:space="preserve">Les audits se font au minimum une fois par an, ou plus frequemment si [NOM_ORGANISATION] l'estime nécessaire. Le Fournisseur fournit :</w:t>
      </w:r>
    </w:p>
    <w:p>
      <w:pPr>
        <w:pStyle w:val="ListParagraph"/>
        <w:numPr>
          <w:ilvl w:val="0"/>
          <w:numId w:val="2"/>
        </w:numPr>
      </w:pPr>
      <w:r>
        <w:rPr>
          <w:rFonts w:ascii="Arial" w:cs="Arial" w:eastAsia="Arial" w:hAnsi="Arial"/>
          <w:color w:val="404040"/>
          <w:sz w:val="22"/>
          <w:szCs w:val="22"/>
        </w:rPr>
        <w:t xml:space="preserve">Rapports SOC 2 Type II ou equivalents annuellement</w:t>
      </w:r>
    </w:p>
    <w:p>
      <w:pPr>
        <w:pStyle w:val="ListParagraph"/>
        <w:numPr>
          <w:ilvl w:val="0"/>
          <w:numId w:val="2"/>
        </w:numPr>
      </w:pPr>
      <w:r>
        <w:rPr>
          <w:rFonts w:ascii="Arial" w:cs="Arial" w:eastAsia="Arial" w:hAnsi="Arial"/>
          <w:color w:val="404040"/>
          <w:sz w:val="22"/>
          <w:szCs w:val="22"/>
        </w:rPr>
        <w:t xml:space="preserve">Certificats de sécurité (ISO 27001, etc.</w:t>
      </w:r>
    </w:p>
    <w:p>
      <w:pPr>
        <w:pStyle w:val="ListParagraph"/>
        <w:numPr>
          <w:ilvl w:val="0"/>
          <w:numId w:val="2"/>
        </w:numPr>
      </w:pPr>
      <w:r>
        <w:rPr>
          <w:rFonts w:ascii="Arial" w:cs="Arial" w:eastAsia="Arial" w:hAnsi="Arial"/>
          <w:color w:val="404040"/>
          <w:sz w:val="22"/>
          <w:szCs w:val="22"/>
        </w:rPr>
        <w:t xml:space="preserve">Accès a ses systemes et documentation pour audit</w:t>
      </w:r>
    </w:p>
    <w:p>
      <w:pPr>
        <w:pStyle w:val="ListParagraph"/>
        <w:numPr>
          <w:ilvl w:val="0"/>
          <w:numId w:val="2"/>
        </w:numPr>
      </w:pPr>
      <w:r>
        <w:rPr>
          <w:rFonts w:ascii="Arial" w:cs="Arial" w:eastAsia="Arial" w:hAnsi="Arial"/>
          <w:color w:val="404040"/>
          <w:sz w:val="22"/>
          <w:szCs w:val="22"/>
        </w:rPr>
        <w:t xml:space="preserve">Cooperation complète avec les auditeurs externes</w:t>
      </w:r>
    </w:p>
    <w:p>
      <w:pPr>
        <w:pStyle w:val="Heading3"/>
      </w:pPr>
      <w:r>
        <w:t xml:space="preserve">4.3 Frais d'audit</w:t>
      </w:r>
    </w:p>
    <w:p>
      <w:r>
        <w:rPr>
          <w:rFonts w:ascii="Arial" w:cs="Arial" w:eastAsia="Arial" w:hAnsi="Arial"/>
          <w:color w:val="404040"/>
          <w:sz w:val="22"/>
          <w:szCs w:val="22"/>
        </w:rPr>
        <w:t xml:space="preserve">Les couts d'audit sont supportes par [NOM_ORGANISATION]. Si l'audit revele des non-conformites materielles, les couts de remediation sont supportes par le Fournisseur.</w:t>
      </w:r>
    </w:p>
    <w:p>
      <w:pPr>
        <w:pStyle w:val="Heading2"/>
      </w:pPr>
      <w:r>
        <w:t xml:space="preserve">5. Niveaux de service (SLA)</w:t>
      </w:r>
    </w:p>
    <w:p>
      <w:pPr>
        <w:pStyle w:val="Heading3"/>
      </w:pPr>
      <w:r>
        <w:t xml:space="preserve">5.1 Disponibilité</w:t>
      </w:r>
    </w:p>
    <w:p>
      <w:r>
        <w:rPr>
          <w:rFonts w:ascii="Arial" w:cs="Arial" w:eastAsia="Arial" w:hAnsi="Arial"/>
          <w:color w:val="404040"/>
          <w:sz w:val="22"/>
          <w:szCs w:val="22"/>
        </w:rPr>
        <w:t xml:space="preserve">Le Fournisseur garantit une disponibilité minimale de [SLA_AVAILABILITE]% (par exemple 99.9%) mesuree sur une base mensuelle. Les periodes d'interruption planifiees (maintenance) ne sont pas comptees dans ce calcul si notifiees 48 heures a l'avance.</w:t>
      </w:r>
    </w:p>
    <w:p>
      <w:pPr>
        <w:pStyle w:val="Heading3"/>
      </w:pPr>
      <w:r>
        <w:t xml:space="preserve">5.2 Performance</w:t>
      </w:r>
    </w:p>
    <w:p>
      <w:r>
        <w:rPr>
          <w:rFonts w:ascii="Arial" w:cs="Arial" w:eastAsia="Arial" w:hAnsi="Arial"/>
          <w:color w:val="404040"/>
          <w:sz w:val="22"/>
          <w:szCs w:val="22"/>
        </w:rPr>
        <w:t xml:space="preserve">Temps de réponse maximal accepte : [LATENCE_MAX_MS]ms en 95e percentile. Précision/exactitude de la solution : [PRECISION_MIN]% ou superieure.</w:t>
      </w:r>
    </w:p>
    <w:p>
      <w:pPr>
        <w:pStyle w:val="Heading3"/>
      </w:pPr>
      <w:r>
        <w:t xml:space="preserve">5.3 Support technique</w:t>
      </w:r>
    </w:p>
    <w:p>
      <w:r>
        <w:rPr>
          <w:rFonts w:ascii="Arial" w:cs="Arial" w:eastAsia="Arial" w:hAnsi="Arial"/>
          <w:color w:val="404040"/>
          <w:sz w:val="22"/>
          <w:szCs w:val="22"/>
        </w:rPr>
        <w:t xml:space="preserve">Le Fournisseur fournit un support technique avec les niveaux de service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Severite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Temps réponse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Temps resolution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 completement inaccessible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minutes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heures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Haute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 degrade, impact opérationnel majeur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heures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heures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Fonction limitee, impact opérationnel modere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heures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 heures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Question, demande d'enhancement, pas d'impact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 heures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jours</w:t>
            </w:r>
          </w:p>
        </w:tc>
      </w:tr>
    </w:tbl>
    <w:p>
      <w:pPr>
        <w:pStyle w:val="Heading3"/>
      </w:pPr>
      <w:r>
        <w:t xml:space="preserve">5.4 Consequences non-respect SLA</w:t>
      </w:r>
    </w:p>
    <w:p>
      <w:r>
        <w:rPr>
          <w:rFonts w:ascii="Arial" w:cs="Arial" w:eastAsia="Arial" w:hAnsi="Arial"/>
          <w:color w:val="404040"/>
          <w:sz w:val="22"/>
          <w:szCs w:val="22"/>
        </w:rPr>
        <w:t xml:space="preserve">Si le Fournisseur ne respecte pas les SLA, les consequences suivantes s'appliquent :</w:t>
      </w:r>
    </w:p>
    <w:p>
      <w:pPr>
        <w:pStyle w:val="ListParagraph"/>
        <w:numPr>
          <w:ilvl w:val="0"/>
          <w:numId w:val="2"/>
        </w:numPr>
      </w:pPr>
      <w:r>
        <w:rPr>
          <w:rFonts w:ascii="Arial" w:cs="Arial" w:eastAsia="Arial" w:hAnsi="Arial"/>
          <w:color w:val="404040"/>
          <w:sz w:val="22"/>
          <w:szCs w:val="22"/>
        </w:rPr>
        <w:t xml:space="preserve">Credit de service: [CREDIT]% de la facture du mois non-conforme</w:t>
      </w:r>
    </w:p>
    <w:p>
      <w:pPr>
        <w:pStyle w:val="ListParagraph"/>
        <w:numPr>
          <w:ilvl w:val="0"/>
          <w:numId w:val="2"/>
        </w:numPr>
      </w:pPr>
      <w:r>
        <w:rPr>
          <w:rFonts w:ascii="Arial" w:cs="Arial" w:eastAsia="Arial" w:hAnsi="Arial"/>
          <w:color w:val="404040"/>
          <w:sz w:val="22"/>
          <w:szCs w:val="22"/>
        </w:rPr>
        <w:t xml:space="preserve">Amelioration obligatoire du service</w:t>
      </w:r>
    </w:p>
    <w:p>
      <w:pPr>
        <w:pStyle w:val="ListParagraph"/>
        <w:numPr>
          <w:ilvl w:val="0"/>
          <w:numId w:val="2"/>
        </w:numPr>
      </w:pPr>
      <w:r>
        <w:rPr>
          <w:rFonts w:ascii="Arial" w:cs="Arial" w:eastAsia="Arial" w:hAnsi="Arial"/>
          <w:color w:val="404040"/>
          <w:sz w:val="22"/>
          <w:szCs w:val="22"/>
        </w:rPr>
        <w:t xml:space="preserve">Droit d'interruption du service si non-respect persiste &gt; 2 mois</w:t>
      </w:r>
    </w:p>
    <w:p>
      <w:pPr>
        <w:pStyle w:val="ListParagraph"/>
        <w:numPr>
          <w:ilvl w:val="0"/>
          <w:numId w:val="2"/>
        </w:numPr>
      </w:pPr>
      <w:r>
        <w:rPr>
          <w:rFonts w:ascii="Arial" w:cs="Arial" w:eastAsia="Arial" w:hAnsi="Arial"/>
          <w:color w:val="404040"/>
          <w:sz w:val="22"/>
          <w:szCs w:val="22"/>
        </w:rPr>
        <w:t xml:space="preserve">Droit de resiliation sans penalite apres 3 mois de non-conformité</w:t>
      </w:r>
    </w:p>
    <w:p>
      <w:pPr>
        <w:pStyle w:val="Heading2"/>
      </w:pPr>
      <w:r>
        <w:t xml:space="preserve">6. Réversibilité et migration</w:t>
      </w:r>
    </w:p>
    <w:p>
      <w:pPr>
        <w:pStyle w:val="Heading3"/>
      </w:pPr>
      <w:r>
        <w:t xml:space="preserve">6.1 Obligation de réversibilité</w:t>
      </w:r>
    </w:p>
    <w:p>
      <w:r>
        <w:rPr>
          <w:rFonts w:ascii="Arial" w:cs="Arial" w:eastAsia="Arial" w:hAnsi="Arial"/>
          <w:color w:val="404040"/>
          <w:sz w:val="22"/>
          <w:szCs w:val="22"/>
        </w:rPr>
        <w:t xml:space="preserve">Le Fournisseur s'engage a faciliter la migration des données et systemes de [NOM_ORGANISATION] vers un autre fournisseur ou une solution interne en cas de resiliation ou de changement de fournisseur.</w:t>
      </w:r>
    </w:p>
    <w:p>
      <w:pPr>
        <w:pStyle w:val="Heading3"/>
      </w:pPr>
      <w:r>
        <w:t xml:space="preserve">6.2 Format de données</w:t>
      </w:r>
    </w:p>
    <w:p>
      <w:r>
        <w:rPr>
          <w:rFonts w:ascii="Arial" w:cs="Arial" w:eastAsia="Arial" w:hAnsi="Arial"/>
          <w:color w:val="404040"/>
          <w:sz w:val="22"/>
          <w:szCs w:val="22"/>
        </w:rPr>
        <w:t xml:space="preserve">Toutes les données doivent être accessibles dans des formats standards ouverts (JSON, CSV, XML, etc.) et non dans des formats proprietaires. Les données doivent pouvoir être exportees completes et sans restriction.</w:t>
      </w:r>
    </w:p>
    <w:p>
      <w:pPr>
        <w:pStyle w:val="Heading3"/>
      </w:pPr>
      <w:r>
        <w:t xml:space="preserve">6.3 Assistance a la migration</w:t>
      </w:r>
    </w:p>
    <w:p>
      <w:r>
        <w:rPr>
          <w:rFonts w:ascii="Arial" w:cs="Arial" w:eastAsia="Arial" w:hAnsi="Arial"/>
          <w:color w:val="404040"/>
          <w:sz w:val="22"/>
          <w:szCs w:val="22"/>
        </w:rPr>
        <w:t xml:space="preserve">Le Fournisseur fournit gratuitement une assistance technique pour la migration des données, y compris :</w:t>
      </w:r>
    </w:p>
    <w:p>
      <w:pPr>
        <w:pStyle w:val="ListParagraph"/>
        <w:numPr>
          <w:ilvl w:val="0"/>
          <w:numId w:val="2"/>
        </w:numPr>
      </w:pPr>
      <w:r>
        <w:rPr>
          <w:rFonts w:ascii="Arial" w:cs="Arial" w:eastAsia="Arial" w:hAnsi="Arial"/>
          <w:color w:val="404040"/>
          <w:sz w:val="22"/>
          <w:szCs w:val="22"/>
        </w:rPr>
        <w:t xml:space="preserve">Documentation des APIs et structures de données</w:t>
      </w:r>
    </w:p>
    <w:p>
      <w:pPr>
        <w:pStyle w:val="ListParagraph"/>
        <w:numPr>
          <w:ilvl w:val="0"/>
          <w:numId w:val="2"/>
        </w:numPr>
      </w:pPr>
      <w:r>
        <w:rPr>
          <w:rFonts w:ascii="Arial" w:cs="Arial" w:eastAsia="Arial" w:hAnsi="Arial"/>
          <w:color w:val="404040"/>
          <w:sz w:val="22"/>
          <w:szCs w:val="22"/>
        </w:rPr>
        <w:t xml:space="preserve">Export complet des données dans le format demande</w:t>
      </w:r>
    </w:p>
    <w:p>
      <w:pPr>
        <w:pStyle w:val="ListParagraph"/>
        <w:numPr>
          <w:ilvl w:val="0"/>
          <w:numId w:val="2"/>
        </w:numPr>
      </w:pPr>
      <w:r>
        <w:rPr>
          <w:rFonts w:ascii="Arial" w:cs="Arial" w:eastAsia="Arial" w:hAnsi="Arial"/>
          <w:color w:val="404040"/>
          <w:sz w:val="22"/>
          <w:szCs w:val="22"/>
        </w:rPr>
        <w:t xml:space="preserve">Assistance a la validation des données migrees</w:t>
      </w:r>
    </w:p>
    <w:p>
      <w:pPr>
        <w:pStyle w:val="ListParagraph"/>
        <w:numPr>
          <w:ilvl w:val="0"/>
          <w:numId w:val="2"/>
        </w:numPr>
      </w:pPr>
      <w:r>
        <w:rPr>
          <w:rFonts w:ascii="Arial" w:cs="Arial" w:eastAsia="Arial" w:hAnsi="Arial"/>
          <w:color w:val="404040"/>
          <w:sz w:val="22"/>
          <w:szCs w:val="22"/>
        </w:rPr>
        <w:t xml:space="preserve">Support technique pendant la periode de migration (minimum 3 mois)</w:t>
      </w:r>
    </w:p>
    <w:p>
      <w:pPr>
        <w:pStyle w:val="Heading2"/>
      </w:pPr>
      <w:r>
        <w:t xml:space="preserve">7. Responsabilité et assurance</w:t>
      </w:r>
    </w:p>
    <w:p>
      <w:pPr>
        <w:pStyle w:val="Heading3"/>
      </w:pPr>
      <w:r>
        <w:t xml:space="preserve">7.1 Responsabilité civile</w:t>
      </w:r>
    </w:p>
    <w:p>
      <w:r>
        <w:rPr>
          <w:rFonts w:ascii="Arial" w:cs="Arial" w:eastAsia="Arial" w:hAnsi="Arial"/>
          <w:color w:val="404040"/>
          <w:sz w:val="22"/>
          <w:szCs w:val="22"/>
        </w:rPr>
        <w:t xml:space="preserve">Le Fournisseur est responsable des dommages causas par :</w:t>
      </w:r>
    </w:p>
    <w:p>
      <w:pPr>
        <w:pStyle w:val="ListParagraph"/>
        <w:numPr>
          <w:ilvl w:val="0"/>
          <w:numId w:val="2"/>
        </w:numPr>
      </w:pPr>
      <w:r>
        <w:rPr>
          <w:rFonts w:ascii="Arial" w:cs="Arial" w:eastAsia="Arial" w:hAnsi="Arial"/>
          <w:color w:val="404040"/>
          <w:sz w:val="22"/>
          <w:szCs w:val="22"/>
        </w:rPr>
        <w:t xml:space="preserve">Violation de confidentialité ou de sécurité des données</w:t>
      </w:r>
    </w:p>
    <w:p>
      <w:pPr>
        <w:pStyle w:val="ListParagraph"/>
        <w:numPr>
          <w:ilvl w:val="0"/>
          <w:numId w:val="2"/>
        </w:numPr>
      </w:pPr>
      <w:r>
        <w:rPr>
          <w:rFonts w:ascii="Arial" w:cs="Arial" w:eastAsia="Arial" w:hAnsi="Arial"/>
          <w:color w:val="404040"/>
          <w:sz w:val="22"/>
          <w:szCs w:val="22"/>
        </w:rPr>
        <w:t xml:space="preserve">Non-conformité avec les lois et reglementations</w:t>
      </w:r>
    </w:p>
    <w:p>
      <w:pPr>
        <w:pStyle w:val="ListParagraph"/>
        <w:numPr>
          <w:ilvl w:val="0"/>
          <w:numId w:val="2"/>
        </w:numPr>
      </w:pPr>
      <w:r>
        <w:rPr>
          <w:rFonts w:ascii="Arial" w:cs="Arial" w:eastAsia="Arial" w:hAnsi="Arial"/>
          <w:color w:val="404040"/>
          <w:sz w:val="22"/>
          <w:szCs w:val="22"/>
        </w:rPr>
        <w:t xml:space="preserve">Defaillance de la solution causant prejudice a [NOM_ORGANISATION] ou a des tiers</w:t>
      </w:r>
    </w:p>
    <w:p>
      <w:pPr>
        <w:pStyle w:val="ListParagraph"/>
        <w:numPr>
          <w:ilvl w:val="0"/>
          <w:numId w:val="2"/>
        </w:numPr>
      </w:pPr>
      <w:r>
        <w:rPr>
          <w:rFonts w:ascii="Arial" w:cs="Arial" w:eastAsia="Arial" w:hAnsi="Arial"/>
          <w:color w:val="404040"/>
          <w:sz w:val="22"/>
          <w:szCs w:val="22"/>
        </w:rPr>
        <w:t xml:space="preserve">Manquement aux obligations contractuelles</w:t>
      </w:r>
    </w:p>
    <w:p>
      <w:pPr>
        <w:pStyle w:val="Heading3"/>
      </w:pPr>
      <w:r>
        <w:t xml:space="preserve">7.2 Limitation de responsabilité</w:t>
      </w:r>
    </w:p>
    <w:p>
      <w:r>
        <w:rPr>
          <w:rFonts w:ascii="Arial" w:cs="Arial" w:eastAsia="Arial" w:hAnsi="Arial"/>
          <w:color w:val="404040"/>
          <w:sz w:val="22"/>
          <w:szCs w:val="22"/>
        </w:rPr>
        <w:t xml:space="preserve">Sauf en cas de violation volontaire ou negligence grave, la responsabilité totale du Fournisseur est limitee au montant des factures des 12 mois precedents.</w:t>
      </w:r>
    </w:p>
    <w:p>
      <w:pPr>
        <w:pStyle w:val="Heading3"/>
      </w:pPr>
      <w:r>
        <w:t xml:space="preserve">7.3 Assurance</w:t>
      </w:r>
    </w:p>
    <w:p>
      <w:r>
        <w:rPr>
          <w:rFonts w:ascii="Arial" w:cs="Arial" w:eastAsia="Arial" w:hAnsi="Arial"/>
          <w:color w:val="404040"/>
          <w:sz w:val="22"/>
          <w:szCs w:val="22"/>
        </w:rPr>
        <w:t xml:space="preserve">Le Fournisseur maintient les couvertures d'assurance suivantes :</w:t>
      </w:r>
    </w:p>
    <w:p>
      <w:pPr>
        <w:pStyle w:val="ListParagraph"/>
        <w:numPr>
          <w:ilvl w:val="0"/>
          <w:numId w:val="2"/>
        </w:numPr>
      </w:pPr>
      <w:r>
        <w:rPr>
          <w:rFonts w:ascii="Arial" w:cs="Arial" w:eastAsia="Arial" w:hAnsi="Arial"/>
          <w:color w:val="404040"/>
          <w:sz w:val="22"/>
          <w:szCs w:val="22"/>
        </w:rPr>
        <w:t xml:space="preserve">Responsabilité civile professionnelle: minimum [MONTANT_ASSURANCE]</w:t>
      </w:r>
    </w:p>
    <w:p>
      <w:pPr>
        <w:pStyle w:val="ListParagraph"/>
        <w:numPr>
          <w:ilvl w:val="0"/>
          <w:numId w:val="2"/>
        </w:numPr>
      </w:pPr>
      <w:r>
        <w:rPr>
          <w:rFonts w:ascii="Arial" w:cs="Arial" w:eastAsia="Arial" w:hAnsi="Arial"/>
          <w:color w:val="404040"/>
          <w:sz w:val="22"/>
          <w:szCs w:val="22"/>
        </w:rPr>
        <w:t xml:space="preserve">Couverture cyberrisque: minimum [MONTANT_CYBER]</w:t>
      </w:r>
    </w:p>
    <w:p>
      <w:pPr>
        <w:pStyle w:val="ListParagraph"/>
        <w:numPr>
          <w:ilvl w:val="0"/>
          <w:numId w:val="2"/>
        </w:numPr>
      </w:pPr>
      <w:r>
        <w:rPr>
          <w:rFonts w:ascii="Arial" w:cs="Arial" w:eastAsia="Arial" w:hAnsi="Arial"/>
          <w:color w:val="404040"/>
          <w:sz w:val="22"/>
          <w:szCs w:val="22"/>
        </w:rPr>
        <w:t xml:space="preserve">Assurance contre la violation de données: minimum [MONTANT_DONNEES]</w:t>
      </w:r>
    </w:p>
    <w:p>
      <w:r>
        <w:br w:type="page"/>
      </w:r>
    </w:p>
    <w:p>
      <w:pPr>
        <w:pStyle w:val="Heading2"/>
      </w:pPr>
      <w:r>
        <w:t xml:space="preserve">8. Propriete intellectuelle</w:t>
      </w:r>
    </w:p>
    <w:p>
      <w:pPr>
        <w:pStyle w:val="Heading3"/>
      </w:pPr>
      <w:r>
        <w:t xml:space="preserve">8.1 Propriete pre-existante</w:t>
      </w:r>
    </w:p>
    <w:p>
      <w:r>
        <w:rPr>
          <w:rFonts w:ascii="Arial" w:cs="Arial" w:eastAsia="Arial" w:hAnsi="Arial"/>
          <w:color w:val="404040"/>
          <w:sz w:val="22"/>
          <w:szCs w:val="22"/>
        </w:rPr>
        <w:t xml:space="preserve">Le Fournisseur conserve la propriete de sa technologie, ses modeles, et sa propriete intellectuelle pre-existante. Cependant, [NOM_ORGANISATION] obtient une licence d'utilisation non-exclusive et perpetuelle dans le champ defini par le contrat.</w:t>
      </w:r>
    </w:p>
    <w:p>
      <w:pPr>
        <w:pStyle w:val="Heading3"/>
      </w:pPr>
      <w:r>
        <w:t xml:space="preserve">8.2 Travaux derives</w:t>
      </w:r>
    </w:p>
    <w:p>
      <w:r>
        <w:rPr>
          <w:rFonts w:ascii="Arial" w:cs="Arial" w:eastAsia="Arial" w:hAnsi="Arial"/>
          <w:color w:val="404040"/>
          <w:sz w:val="22"/>
          <w:szCs w:val="22"/>
        </w:rPr>
        <w:t xml:space="preserve">Tout travail derive ou modification de la solution effectue par [NOM_ORGANISATION] ou ses prestataires devient propriete de [NOM_ORGANISATION], sauf clause contraire expressement convenue.</w:t>
      </w:r>
    </w:p>
    <w:p>
      <w:pPr>
        <w:pStyle w:val="Heading3"/>
      </w:pPr>
      <w:r>
        <w:t xml:space="preserve">8.3 Brevets</w:t>
      </w:r>
    </w:p>
    <w:p>
      <w:r>
        <w:rPr>
          <w:rFonts w:ascii="Arial" w:cs="Arial" w:eastAsia="Arial" w:hAnsi="Arial"/>
          <w:color w:val="404040"/>
          <w:sz w:val="22"/>
          <w:szCs w:val="22"/>
        </w:rPr>
        <w:t xml:space="preserve">Le Fournisseur garantit que la solution n'enfreint pas les droits de propriete intellectuelle de tiers. Le Fournisseur defendra et indemnisera [NOM_ORGANISATION] contre toute action en infraction de brevet.</w:t>
      </w:r>
    </w:p>
    <w:p>
      <w:pPr>
        <w:pStyle w:val="Heading2"/>
      </w:pPr>
      <w:r>
        <w:t xml:space="preserve">9. Transfert international de données</w:t>
      </w:r>
    </w:p>
    <w:p>
      <w:pPr>
        <w:pStyle w:val="Heading3"/>
      </w:pPr>
      <w:r>
        <w:t xml:space="preserve">9.1 Localisation des données</w:t>
      </w:r>
    </w:p>
    <w:p>
      <w:r>
        <w:rPr>
          <w:rFonts w:ascii="Arial" w:cs="Arial" w:eastAsia="Arial" w:hAnsi="Arial"/>
          <w:color w:val="404040"/>
          <w:sz w:val="22"/>
          <w:szCs w:val="22"/>
        </w:rPr>
        <w:t xml:space="preserve">Sauf entente contraire, toutes les données personnelles demeurent sur les serveurs localises au Canada, ou plus specifiquement dans la province du Quebec. Aucun transfert vers d'autres juridictions n'est permis.</w:t>
      </w:r>
    </w:p>
    <w:p>
      <w:pPr>
        <w:pStyle w:val="Heading3"/>
      </w:pPr>
      <w:r>
        <w:t xml:space="preserve">9.2 Sous-traitants internationaux</w:t>
      </w:r>
    </w:p>
    <w:p>
      <w:r>
        <w:rPr>
          <w:rFonts w:ascii="Arial" w:cs="Arial" w:eastAsia="Arial" w:hAnsi="Arial"/>
          <w:color w:val="404040"/>
          <w:sz w:val="22"/>
          <w:szCs w:val="22"/>
        </w:rPr>
        <w:t xml:space="preserve">Le Fournisseur ne peut utiliser de sous-traitants en dehors du Canada/Quebec pour traiter les données personnelles sans consentement ecrit prealable de [NOM_ORGANISATION]. Tous les sous-traitants doivent se soumettre aux memes obligations contractuelles.</w:t>
      </w:r>
    </w:p>
    <w:p>
      <w:pPr>
        <w:pStyle w:val="Heading3"/>
      </w:pPr>
      <w:r>
        <w:t xml:space="preserve">9.3 Transnationalite et export control</w:t>
      </w:r>
    </w:p>
    <w:p>
      <w:r>
        <w:rPr>
          <w:rFonts w:ascii="Arial" w:cs="Arial" w:eastAsia="Arial" w:hAnsi="Arial"/>
          <w:color w:val="404040"/>
          <w:sz w:val="22"/>
          <w:szCs w:val="22"/>
        </w:rPr>
        <w:t xml:space="preserve">Le Fournisseur s'engage a se conformer a toutes les regulations d'export control canadiennes et americaines (EAR, ITAR) applicables a la solution. Le Fournisseur avise [NOM_ORGANISATION] de toute restriction d'export.</w:t>
      </w:r>
    </w:p>
    <w:p>
      <w:pPr>
        <w:pStyle w:val="Heading2"/>
      </w:pPr>
      <w:r>
        <w:t xml:space="preserve">10. Resiliation</w:t>
      </w:r>
    </w:p>
    <w:p>
      <w:pPr>
        <w:pStyle w:val="Heading3"/>
      </w:pPr>
      <w:r>
        <w:t xml:space="preserve">10.1 Resiliation pour convenance</w:t>
      </w:r>
    </w:p>
    <w:p>
      <w:r>
        <w:rPr>
          <w:rFonts w:ascii="Arial" w:cs="Arial" w:eastAsia="Arial" w:hAnsi="Arial"/>
          <w:color w:val="404040"/>
          <w:sz w:val="22"/>
          <w:szCs w:val="22"/>
        </w:rPr>
        <w:t xml:space="preserve">[NOM_ORGANISATION] peut resilier le contrat pour convenance avec un preavis de [DELAI_PREAVIS] jours. En cas de resiliation, le Fournisseur :</w:t>
      </w:r>
    </w:p>
    <w:p>
      <w:pPr>
        <w:pStyle w:val="ListParagraph"/>
        <w:numPr>
          <w:ilvl w:val="0"/>
          <w:numId w:val="2"/>
        </w:numPr>
      </w:pPr>
      <w:r>
        <w:rPr>
          <w:rFonts w:ascii="Arial" w:cs="Arial" w:eastAsia="Arial" w:hAnsi="Arial"/>
          <w:color w:val="404040"/>
          <w:sz w:val="22"/>
          <w:szCs w:val="22"/>
        </w:rPr>
        <w:t xml:space="preserve">Cesse immediatement de traiter les données</w:t>
      </w:r>
    </w:p>
    <w:p>
      <w:pPr>
        <w:pStyle w:val="ListParagraph"/>
        <w:numPr>
          <w:ilvl w:val="0"/>
          <w:numId w:val="2"/>
        </w:numPr>
      </w:pPr>
      <w:r>
        <w:rPr>
          <w:rFonts w:ascii="Arial" w:cs="Arial" w:eastAsia="Arial" w:hAnsi="Arial"/>
          <w:color w:val="404040"/>
          <w:sz w:val="22"/>
          <w:szCs w:val="22"/>
        </w:rPr>
        <w:t xml:space="preserve">Returnne ou detruit toutes les données dans le delai convenu</w:t>
      </w:r>
    </w:p>
    <w:p>
      <w:pPr>
        <w:pStyle w:val="ListParagraph"/>
        <w:numPr>
          <w:ilvl w:val="0"/>
          <w:numId w:val="2"/>
        </w:numPr>
      </w:pPr>
      <w:r>
        <w:rPr>
          <w:rFonts w:ascii="Arial" w:cs="Arial" w:eastAsia="Arial" w:hAnsi="Arial"/>
          <w:color w:val="404040"/>
          <w:sz w:val="22"/>
          <w:szCs w:val="22"/>
        </w:rPr>
        <w:t xml:space="preserve">Fournit une assistance a la migration pour transition vers un autre fournisseur</w:t>
      </w:r>
    </w:p>
    <w:p>
      <w:pPr>
        <w:pStyle w:val="ListParagraph"/>
        <w:numPr>
          <w:ilvl w:val="0"/>
          <w:numId w:val="2"/>
        </w:numPr>
      </w:pPr>
      <w:r>
        <w:rPr>
          <w:rFonts w:ascii="Arial" w:cs="Arial" w:eastAsia="Arial" w:hAnsi="Arial"/>
          <w:color w:val="404040"/>
          <w:sz w:val="22"/>
          <w:szCs w:val="22"/>
        </w:rPr>
        <w:t xml:space="preserve">Cesse toute utilisation de données pour entrainement ou autres fins</w:t>
      </w:r>
    </w:p>
    <w:p>
      <w:pPr>
        <w:pStyle w:val="Heading3"/>
      </w:pPr>
      <w:r>
        <w:t xml:space="preserve">10.2 Resiliation pour cause</w:t>
      </w:r>
    </w:p>
    <w:p>
      <w:r>
        <w:rPr>
          <w:rFonts w:ascii="Arial" w:cs="Arial" w:eastAsia="Arial" w:hAnsi="Arial"/>
          <w:color w:val="404040"/>
          <w:sz w:val="22"/>
          <w:szCs w:val="22"/>
        </w:rPr>
        <w:t xml:space="preserve">[NOM_ORGANISATION] peut resilier immediatement en cas de :</w:t>
      </w:r>
    </w:p>
    <w:p>
      <w:pPr>
        <w:pStyle w:val="ListParagraph"/>
        <w:numPr>
          <w:ilvl w:val="0"/>
          <w:numId w:val="2"/>
        </w:numPr>
      </w:pPr>
      <w:r>
        <w:rPr>
          <w:rFonts w:ascii="Arial" w:cs="Arial" w:eastAsia="Arial" w:hAnsi="Arial"/>
          <w:color w:val="404040"/>
          <w:sz w:val="22"/>
          <w:szCs w:val="22"/>
        </w:rPr>
        <w:t xml:space="preserve">Violation materielle des obligations contractuelles non corrigee dans 15 jours</w:t>
      </w:r>
    </w:p>
    <w:p>
      <w:pPr>
        <w:pStyle w:val="ListParagraph"/>
        <w:numPr>
          <w:ilvl w:val="0"/>
          <w:numId w:val="2"/>
        </w:numPr>
      </w:pPr>
      <w:r>
        <w:rPr>
          <w:rFonts w:ascii="Arial" w:cs="Arial" w:eastAsia="Arial" w:hAnsi="Arial"/>
          <w:color w:val="404040"/>
          <w:sz w:val="22"/>
          <w:szCs w:val="22"/>
        </w:rPr>
        <w:t xml:space="preserve">Incident majeur de sécurité ou violation de données</w:t>
      </w:r>
    </w:p>
    <w:p>
      <w:pPr>
        <w:pStyle w:val="ListParagraph"/>
        <w:numPr>
          <w:ilvl w:val="0"/>
          <w:numId w:val="2"/>
        </w:numPr>
      </w:pPr>
      <w:r>
        <w:rPr>
          <w:rFonts w:ascii="Arial" w:cs="Arial" w:eastAsia="Arial" w:hAnsi="Arial"/>
          <w:color w:val="404040"/>
          <w:sz w:val="22"/>
          <w:szCs w:val="22"/>
        </w:rPr>
        <w:t xml:space="preserve">Non-conformité légale ou réglementaire</w:t>
      </w:r>
    </w:p>
    <w:p>
      <w:pPr>
        <w:pStyle w:val="ListParagraph"/>
        <w:numPr>
          <w:ilvl w:val="0"/>
          <w:numId w:val="2"/>
        </w:numPr>
      </w:pPr>
      <w:r>
        <w:rPr>
          <w:rFonts w:ascii="Arial" w:cs="Arial" w:eastAsia="Arial" w:hAnsi="Arial"/>
          <w:color w:val="404040"/>
          <w:sz w:val="22"/>
          <w:szCs w:val="22"/>
        </w:rPr>
        <w:t xml:space="preserve">Insolvabilite ou faillite du Fournisseur</w:t>
      </w:r>
    </w:p>
    <w:p>
      <w:pPr>
        <w:pStyle w:val="Heading3"/>
      </w:pPr>
      <w:r>
        <w:t xml:space="preserve">10.3 Droits subsequents a resiliation</w:t>
      </w:r>
    </w:p>
    <w:p>
      <w:r>
        <w:rPr>
          <w:rFonts w:ascii="Arial" w:cs="Arial" w:eastAsia="Arial" w:hAnsi="Arial"/>
          <w:color w:val="404040"/>
          <w:sz w:val="22"/>
          <w:szCs w:val="22"/>
        </w:rPr>
        <w:t xml:space="preserve">Apres resiliation, [NOM_ORGANISATION] conserve le droit d'acceder a ses données archivees, meme si le service n'est plus fourni. Le Fournisseur maintient les mesures de sécurité pendant la periode d'archivage.</w:t>
      </w:r>
    </w:p>
    <w:p>
      <w:pPr>
        <w:pStyle w:val="Heading2"/>
      </w:pPr>
      <w:r>
        <w:t xml:space="preserve">11. Dispositions finales</w:t>
      </w:r>
    </w:p>
    <w:p>
      <w:pPr>
        <w:pStyle w:val="Heading3"/>
      </w:pPr>
      <w:r>
        <w:t xml:space="preserve">11.1 Modification des termes</w:t>
      </w:r>
    </w:p>
    <w:p>
      <w:r>
        <w:rPr>
          <w:rFonts w:ascii="Arial" w:cs="Arial" w:eastAsia="Arial" w:hAnsi="Arial"/>
          <w:color w:val="404040"/>
          <w:sz w:val="22"/>
          <w:szCs w:val="22"/>
        </w:rPr>
        <w:t xml:space="preserve">Aucune modification au présent contrat n'est valide sans entente ecrite signee par les deux parties. Le Fournisseur ne peut pas modifier unilatralement les termes de service sans preavis de 90 jours.</w:t>
      </w:r>
    </w:p>
    <w:p>
      <w:pPr>
        <w:pStyle w:val="Heading3"/>
      </w:pPr>
      <w:r>
        <w:t xml:space="preserve">11.2 Entente globale</w:t>
      </w:r>
    </w:p>
    <w:p>
      <w:r>
        <w:rPr>
          <w:rFonts w:ascii="Arial" w:cs="Arial" w:eastAsia="Arial" w:hAnsi="Arial"/>
          <w:color w:val="404040"/>
          <w:sz w:val="22"/>
          <w:szCs w:val="22"/>
        </w:rPr>
        <w:t xml:space="preserve">Le présent contrat, y compris les annexes et clauses IA, constitue l'entente globale concernant la solution et remplace toute entente anterieure.</w:t>
      </w:r>
    </w:p>
    <w:p>
      <w:pPr>
        <w:pStyle w:val="Heading3"/>
      </w:pPr>
      <w:r>
        <w:t xml:space="preserve">11.3 Droit applicable</w:t>
      </w:r>
    </w:p>
    <w:p>
      <w:r>
        <w:rPr>
          <w:rFonts w:ascii="Arial" w:cs="Arial" w:eastAsia="Arial" w:hAnsi="Arial"/>
          <w:color w:val="404040"/>
          <w:sz w:val="22"/>
          <w:szCs w:val="22"/>
        </w:rPr>
        <w:t xml:space="preserve">Le présent contrat est regi par les lois de la province du Quebec et les lois federales du Canada. Tout litige est soumis aux tribunaux du Quebec.</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Clauses contractuelles types pour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2026-03-05T02:14:25.400Z</dcterms:created>
  <dcterms:modified xsi:type="dcterms:W3CDTF">2026-03-05T02:14:25.400Z</dcterms:modified>
</cp:coreProperties>
</file>

<file path=docProps/custom.xml><?xml version="1.0" encoding="utf-8"?>
<Properties xmlns="http://schemas.openxmlformats.org/officeDocument/2006/custom-properties" xmlns:vt="http://schemas.openxmlformats.org/officeDocument/2006/docPropsVTypes"/>
</file>