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Registre des fournisseurs et solutions IA</w:t>
      </w:r>
    </w:p>
    <w:p>
      <w:pPr>
        <w:spacing w:after="600"/>
        <w:jc w:val="center"/>
      </w:pPr>
      <w:r>
        <w:rPr>
          <w:rFonts w:ascii="Arial" w:cs="Arial" w:eastAsia="Arial" w:hAnsi="Arial"/>
          <w:color w:val="2E75B6"/>
          <w:sz w:val="24"/>
          <w:szCs w:val="24"/>
        </w:rPr>
        <w:t xml:space="preserve">Inventaire, template et gestion des solutions IA tierces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Objectif et importance</w:t>
      </w:r>
    </w:p>
    <w:p>
      <w:r>
        <w:rPr>
          <w:rFonts w:ascii="Arial" w:cs="Arial" w:eastAsia="Arial" w:hAnsi="Arial"/>
          <w:color w:val="404040"/>
          <w:sz w:val="22"/>
          <w:szCs w:val="22"/>
        </w:rPr>
        <w:t xml:space="preserve">Le registre des fournisseurs et solutions IA centralise l'inventaire de toutes les solutions d'intelligence artificielle utilisees par [NOM_ORGANISATION]. Il sert de base de données de référence pour la gouvernance, le suivi et la gestion des risques associés aux dependencies envers les fournisseurs externes.</w:t>
      </w:r>
    </w:p>
    <w:p>
      <w:pPr>
        <w:pStyle w:val="Heading2"/>
      </w:pPr>
      <w:r>
        <w:t xml:space="preserve">Objectifs principaux</w:t>
      </w:r>
    </w:p>
    <w:p>
      <w:pPr>
        <w:pStyle w:val="ListParagraph"/>
        <w:numPr>
          <w:ilvl w:val="0"/>
          <w:numId w:val="2"/>
        </w:numPr>
      </w:pPr>
      <w:r>
        <w:rPr>
          <w:rFonts w:ascii="Arial" w:cs="Arial" w:eastAsia="Arial" w:hAnsi="Arial"/>
          <w:color w:val="404040"/>
          <w:sz w:val="22"/>
          <w:szCs w:val="22"/>
        </w:rPr>
        <w:t xml:space="preserve">Maintenir un inventaire complet et a jour de toutes les solutions IA en utilisation</w:t>
      </w:r>
    </w:p>
    <w:p>
      <w:pPr>
        <w:pStyle w:val="ListParagraph"/>
        <w:numPr>
          <w:ilvl w:val="0"/>
          <w:numId w:val="2"/>
        </w:numPr>
      </w:pPr>
      <w:r>
        <w:rPr>
          <w:rFonts w:ascii="Arial" w:cs="Arial" w:eastAsia="Arial" w:hAnsi="Arial"/>
          <w:color w:val="404040"/>
          <w:sz w:val="22"/>
          <w:szCs w:val="22"/>
        </w:rPr>
        <w:t xml:space="preserve">Documenter les details contractuels, techniques et de conformité de chaque solution</w:t>
      </w:r>
    </w:p>
    <w:p>
      <w:pPr>
        <w:pStyle w:val="ListParagraph"/>
        <w:numPr>
          <w:ilvl w:val="0"/>
          <w:numId w:val="2"/>
        </w:numPr>
      </w:pPr>
      <w:r>
        <w:rPr>
          <w:rFonts w:ascii="Arial" w:cs="Arial" w:eastAsia="Arial" w:hAnsi="Arial"/>
          <w:color w:val="404040"/>
          <w:sz w:val="22"/>
          <w:szCs w:val="22"/>
        </w:rPr>
        <w:t xml:space="preserve">Permettre l'identification rapide des risques et dépendances critiques</w:t>
      </w:r>
    </w:p>
    <w:p>
      <w:pPr>
        <w:pStyle w:val="ListParagraph"/>
        <w:numPr>
          <w:ilvl w:val="0"/>
          <w:numId w:val="2"/>
        </w:numPr>
      </w:pPr>
      <w:r>
        <w:rPr>
          <w:rFonts w:ascii="Arial" w:cs="Arial" w:eastAsia="Arial" w:hAnsi="Arial"/>
          <w:color w:val="404040"/>
          <w:sz w:val="22"/>
          <w:szCs w:val="22"/>
        </w:rPr>
        <w:t xml:space="preserve">Faciliter les audits et evaluations de conformité</w:t>
      </w:r>
    </w:p>
    <w:p>
      <w:pPr>
        <w:pStyle w:val="ListParagraph"/>
        <w:numPr>
          <w:ilvl w:val="0"/>
          <w:numId w:val="2"/>
        </w:numPr>
      </w:pPr>
      <w:r>
        <w:rPr>
          <w:rFonts w:ascii="Arial" w:cs="Arial" w:eastAsia="Arial" w:hAnsi="Arial"/>
          <w:color w:val="404040"/>
          <w:sz w:val="22"/>
          <w:szCs w:val="22"/>
        </w:rPr>
        <w:t xml:space="preserve">Supporter la planification de la continuite et la gestion des changements</w:t>
      </w:r>
    </w:p>
    <w:p>
      <w:r>
        <w:br w:type="page"/>
      </w:r>
    </w:p>
    <w:p>
      <w:pPr>
        <w:pStyle w:val="Heading1"/>
      </w:pPr>
      <w:r>
        <w:t xml:space="preserve">Structure et champs du registre</w:t>
      </w:r>
    </w:p>
    <w:p>
      <w:pPr>
        <w:pStyle w:val="Heading2"/>
      </w:pPr>
      <w:r>
        <w:t xml:space="preserve">Information générale sur la solution</w:t>
      </w:r>
    </w:p>
    <w:p>
      <w:r>
        <w:rPr>
          <w:rFonts w:ascii="Arial" w:cs="Arial" w:eastAsia="Arial" w:hAnsi="Arial"/>
          <w:color w:val="404040"/>
          <w:sz w:val="22"/>
          <w:szCs w:val="22"/>
        </w:rPr>
        <w:t xml:space="preserve">Pour chaque solution IA enregistree, les informations suivantes sont documentees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de la solution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officiel de la solution IA</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de l'organisation fournisseur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fonctionnelle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Resume des capacités et utilisation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de solution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Categorie (LLM, classification, prediction, etc.)</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d'implementation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debut d'utilisation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Actif, Pilot, Deprecated, En évaluation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Proprietaire/Gestionnaire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Personne responsable au sein de l'organisation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bl>
    <w:p>
      <w:pPr>
        <w:pStyle w:val="Heading2"/>
      </w:pPr>
      <w:r>
        <w:t xml:space="preserve">Information contractuelle</w:t>
      </w:r>
    </w:p>
    <w:p>
      <w:r>
        <w:rPr>
          <w:rFonts w:ascii="Arial" w:cs="Arial" w:eastAsia="Arial" w:hAnsi="Arial"/>
          <w:color w:val="404040"/>
          <w:sz w:val="22"/>
          <w:szCs w:val="22"/>
        </w:rPr>
        <w:t xml:space="preserve">Details relatifs au contrat et a la relation avec le fournisseur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18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Numero du contrat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Référence unique du contrat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debut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Debut de la periode contractuelle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fin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 de la periode contractuelle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renouvellement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prochaine évaluation/renouvellement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 annuel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annuel de la solution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de licence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SaaS, PaaS, IaaS, achat, autre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Contact fournisseur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et contact personne-ressource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contrat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Personne designee pour suivi contractuel</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bl>
    <w:p>
      <w:pPr>
        <w:pStyle w:val="Heading2"/>
      </w:pPr>
      <w:r>
        <w:t xml:space="preserve">Information technique</w:t>
      </w:r>
    </w:p>
    <w:p>
      <w:r>
        <w:rPr>
          <w:rFonts w:ascii="Arial" w:cs="Arial" w:eastAsia="Arial" w:hAnsi="Arial"/>
          <w:color w:val="404040"/>
          <w:sz w:val="22"/>
          <w:szCs w:val="22"/>
        </w:rPr>
        <w:t xml:space="preserve">Caractéristiques techniques et operationnelles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208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d'infrastructure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Cloud (AWS/Azure/GCP), On-premise, Hybrid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 des données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Region/pays ou les données resident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Architecture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sommaire de l'architecture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API disponible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type d'API</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Integrations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integres avec</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Volume de données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Estimation du volume traite par jour/mois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Latence/SLA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réponse typique et SLA garanti</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Mises a jour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Frequence des mises a jour et patches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bl>
    <w:p>
      <w:pPr>
        <w:pStyle w:val="Heading2"/>
      </w:pPr>
      <w:r>
        <w:t xml:space="preserve">Information de sécurité et conformité</w:t>
      </w:r>
    </w:p>
    <w:p>
      <w:r>
        <w:rPr>
          <w:rFonts w:ascii="Arial" w:cs="Arial" w:eastAsia="Arial" w:hAnsi="Arial"/>
          <w:color w:val="404040"/>
          <w:sz w:val="22"/>
          <w:szCs w:val="22"/>
        </w:rPr>
        <w:t xml:space="preserve">Données relatives a la sécurité, conformité et protection des données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18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traitees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type et volume de données personnelles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de traitement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date de signature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données pers.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Loi 25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date d'évaluation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données pers.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PIPEDA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date d'évaluation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données pers.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 sécurité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ISO 27001, SOC 2, autres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Chiffrement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type de chiffrement utilise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sécurité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du dernier audit / pentest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historique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Incidents de sécurité passes (Oui/Non)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bl>
    <w:p>
      <w:pPr>
        <w:pStyle w:val="Heading2"/>
      </w:pPr>
      <w:r>
        <w:t xml:space="preserve">Information de risque</w:t>
      </w:r>
    </w:p>
    <w:p>
      <w:r>
        <w:rPr>
          <w:rFonts w:ascii="Arial" w:cs="Arial" w:eastAsia="Arial" w:hAnsi="Arial"/>
          <w:color w:val="404040"/>
          <w:sz w:val="22"/>
          <w:szCs w:val="22"/>
        </w:rPr>
        <w:t xml:space="preserve">Évaluation des risques et mesures de mitigation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18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Criticite de la solution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Haute, Moyenne, Basse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identifies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des principaux risques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Dependance du fournisseur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Degre de dependance (Critique, Modere, Faible)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de viabilite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Etat financier du fournisseur, risque faillite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continuite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description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critique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Alternative disponible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de solution alternative possible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critique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d'évaluation risques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Dernière évaluation des risques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bl>
    <w:p>
      <w:pPr>
        <w:pStyle w:val="Heading2"/>
      </w:pPr>
      <w:r>
        <w:t xml:space="preserve">Information de conformité éthique</w:t>
      </w:r>
    </w:p>
    <w:p>
      <w:r>
        <w:rPr>
          <w:rFonts w:ascii="Arial" w:cs="Arial" w:eastAsia="Arial" w:hAnsi="Arial"/>
          <w:color w:val="404040"/>
          <w:sz w:val="22"/>
          <w:szCs w:val="22"/>
        </w:rPr>
        <w:t xml:space="preserve">Elements lies aux aspects éthiques et de responsabilité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18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de biais effectue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date et resultats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discrimination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Confirmée/Non confirmée</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Explcabilite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d'explcabilite de la solution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des limites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limitations connues documentees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social evalue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impact potentiel negatif</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envers utilisateurs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Informes que solution est IA (Oui/Non)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bl>
    <w:p>
      <w:r>
        <w:br w:type="page"/>
      </w:r>
    </w:p>
    <w:p>
      <w:pPr>
        <w:pStyle w:val="Heading1"/>
      </w:pPr>
      <w:r>
        <w:t xml:space="preserve">Template de fiche fournisseur</w:t>
      </w:r>
    </w:p>
    <w:p>
      <w:r>
        <w:rPr>
          <w:rFonts w:ascii="Arial" w:cs="Arial" w:eastAsia="Arial" w:hAnsi="Arial"/>
          <w:color w:val="404040"/>
          <w:sz w:val="22"/>
          <w:szCs w:val="22"/>
        </w:rPr>
        <w:t xml:space="preserve">Chaque fournisseur dans le registre doit avoir une fiche resumee contenant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FICHE FOURNISSEUR TEMPLATE</w:t>
            </w:r>
          </w:p>
          <w:p>
            <w:pPr>
              <w:spacing w:after="0"/>
            </w:pPr>
            <w:r>
              <w:rPr>
                <w:rFonts w:ascii="Arial" w:cs="Arial" w:eastAsia="Arial" w:hAnsi="Arial"/>
                <w:color w:val="404040"/>
                <w:sz w:val="20"/>
                <w:szCs w:val="20"/>
              </w:rPr>
              <w:t xml:space="preserve">[NOM_SOLUTION] - [NOM_FOURNISSEUR]
Type: [TYPE_SOLUTION] | Statut: [ACTIF/PILOT] | Criticite: [CRITICITE]
DESCRIPTION
[Description fonctionnelle, cas d'usage, impact opérationnel]
CONTRAT
Fournisseur: [NOM] | Debut: [DATE] | Fin: [DATE] | Cout annuel: [MONTANT]
Contact: [NOM] [EMAIL] [TELEPHONE]
TECHNIQUE
Infrastructure: [CLOUD/ON-PREM] | Localisation: [REGION] | SLA: [UPTIME]%
Volume données: [VOLUME/JOUR] | Latence: [LATENCE_MS]ms
SECURITE &amp; CONFORMITE
Donnees personnelles: [OUI/NON] | Accord traitement: [OUI/NON]
Certifications: [ISO27001/SOC2/etc] | Dernier audit: [DATE]
Chiffrement: [AES-256/TLS1.3/autres] | Incident: [OUI/NON]
RISQUES
Risques principaux: [LISTE]
Dependance: [CRITIQUE/MODERE/FAIBLE] | Alternative: [SOLUTION_ALT]
Plan continuite: [OUI/NON]
ETHIQUE
Bias test: [OUI/NON] | Discrimination: [CONFIRMEE/NON] | Explcabilite: [NIVEAU]
Transparence utilisateurs: [OUI/NON]
GESTION
Proprietaire: [NOM] | Gestionnaire contrat: [NOM]
Date évaluation: [DATE] | Prochaine review: [DATE]</w:t>
            </w:r>
          </w:p>
        </w:tc>
      </w:tr>
    </w:tbl>
    <w:p>
      <w:pPr>
        <w:spacing w:before="200"/>
      </w:pPr>
    </w:p>
    <w:p>
      <w:pPr>
        <w:pStyle w:val="Heading1"/>
      </w:pPr>
      <w:r>
        <w:t xml:space="preserve">Gestion et mise a jour du registre</w:t>
      </w:r>
    </w:p>
    <w:p>
      <w:pPr>
        <w:pStyle w:val="Heading2"/>
      </w:pPr>
      <w:r>
        <w:t xml:space="preserve">Responsabilites</w:t>
      </w:r>
    </w:p>
    <w:p>
      <w:r>
        <w:rPr>
          <w:rFonts w:ascii="Arial" w:cs="Arial" w:eastAsia="Arial" w:hAnsi="Arial"/>
          <w:color w:val="404040"/>
          <w:sz w:val="22"/>
          <w:szCs w:val="22"/>
        </w:rPr>
        <w:t xml:space="preserve">La gestion du registre est distribuee selon les rôles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Governance globale, coordination, validation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de solution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a jour de sa solution (infos techniques, risques)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conformité</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Validation conformité légale et de sécurité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de contrat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a jour infos contractuelles et financieres</w:t>
            </w:r>
          </w:p>
        </w:tc>
      </w:tr>
    </w:tbl>
    <w:p>
      <w:pPr>
        <w:pStyle w:val="Heading2"/>
      </w:pPr>
      <w:r>
        <w:t xml:space="preserve">Frequence de mise a jour</w:t>
      </w:r>
    </w:p>
    <w:p>
      <w:r>
        <w:rPr>
          <w:rFonts w:ascii="Arial" w:cs="Arial" w:eastAsia="Arial" w:hAnsi="Arial"/>
          <w:color w:val="404040"/>
          <w:sz w:val="22"/>
          <w:szCs w:val="22"/>
        </w:rPr>
        <w:t xml:space="preserve">Le registre doit être mis a jour dans les circonstances suivantes :</w:t>
      </w:r>
    </w:p>
    <w:p>
      <w:pPr>
        <w:pStyle w:val="ListParagraph"/>
        <w:numPr>
          <w:ilvl w:val="0"/>
          <w:numId w:val="2"/>
        </w:numPr>
      </w:pPr>
      <w:r>
        <w:rPr>
          <w:rFonts w:ascii="Arial" w:cs="Arial" w:eastAsia="Arial" w:hAnsi="Arial"/>
          <w:color w:val="404040"/>
          <w:sz w:val="22"/>
          <w:szCs w:val="22"/>
        </w:rPr>
        <w:t xml:space="preserve">Ajout d'une nouvelle solution: Dans les 30 jours de son implementation</w:t>
      </w:r>
    </w:p>
    <w:p>
      <w:pPr>
        <w:pStyle w:val="ListParagraph"/>
        <w:numPr>
          <w:ilvl w:val="0"/>
          <w:numId w:val="2"/>
        </w:numPr>
      </w:pPr>
      <w:r>
        <w:rPr>
          <w:rFonts w:ascii="Arial" w:cs="Arial" w:eastAsia="Arial" w:hAnsi="Arial"/>
          <w:color w:val="404040"/>
          <w:sz w:val="22"/>
          <w:szCs w:val="22"/>
        </w:rPr>
        <w:t xml:space="preserve">Modification contractuelle: Dans les 10 jours de la modification</w:t>
      </w:r>
    </w:p>
    <w:p>
      <w:pPr>
        <w:pStyle w:val="ListParagraph"/>
        <w:numPr>
          <w:ilvl w:val="0"/>
          <w:numId w:val="2"/>
        </w:numPr>
      </w:pPr>
      <w:r>
        <w:rPr>
          <w:rFonts w:ascii="Arial" w:cs="Arial" w:eastAsia="Arial" w:hAnsi="Arial"/>
          <w:color w:val="404040"/>
          <w:sz w:val="22"/>
          <w:szCs w:val="22"/>
        </w:rPr>
        <w:t xml:space="preserve">Incident de sécurité: Immediatement apres l'incident</w:t>
      </w:r>
    </w:p>
    <w:p>
      <w:pPr>
        <w:pStyle w:val="ListParagraph"/>
        <w:numPr>
          <w:ilvl w:val="0"/>
          <w:numId w:val="2"/>
        </w:numPr>
      </w:pPr>
      <w:r>
        <w:rPr>
          <w:rFonts w:ascii="Arial" w:cs="Arial" w:eastAsia="Arial" w:hAnsi="Arial"/>
          <w:color w:val="404040"/>
          <w:sz w:val="22"/>
          <w:szCs w:val="22"/>
        </w:rPr>
        <w:t xml:space="preserve">Évaluation de risques: Annuellement minimum, ou apres tout changement</w:t>
      </w:r>
    </w:p>
    <w:p>
      <w:pPr>
        <w:pStyle w:val="ListParagraph"/>
        <w:numPr>
          <w:ilvl w:val="0"/>
          <w:numId w:val="2"/>
        </w:numPr>
      </w:pPr>
      <w:r>
        <w:rPr>
          <w:rFonts w:ascii="Arial" w:cs="Arial" w:eastAsia="Arial" w:hAnsi="Arial"/>
          <w:color w:val="404040"/>
          <w:sz w:val="22"/>
          <w:szCs w:val="22"/>
        </w:rPr>
        <w:t xml:space="preserve">Changement de fournisseur/statut: Immediatement</w:t>
      </w:r>
    </w:p>
    <w:p>
      <w:pPr>
        <w:pStyle w:val="Heading2"/>
      </w:pPr>
      <w:r>
        <w:t xml:space="preserve">Révision periodique</w:t>
      </w:r>
    </w:p>
    <w:p>
      <w:r>
        <w:rPr>
          <w:rFonts w:ascii="Arial" w:cs="Arial" w:eastAsia="Arial" w:hAnsi="Arial"/>
          <w:color w:val="404040"/>
          <w:sz w:val="22"/>
          <w:szCs w:val="22"/>
        </w:rPr>
        <w:t xml:space="preserve">Une révision complète du registre est effectuee :</w:t>
      </w:r>
    </w:p>
    <w:p>
      <w:pPr>
        <w:pStyle w:val="ListParagraph"/>
        <w:numPr>
          <w:ilvl w:val="0"/>
          <w:numId w:val="2"/>
        </w:numPr>
      </w:pPr>
      <w:r>
        <w:rPr>
          <w:rFonts w:ascii="Arial" w:cs="Arial" w:eastAsia="Arial" w:hAnsi="Arial"/>
          <w:color w:val="404040"/>
          <w:sz w:val="22"/>
          <w:szCs w:val="22"/>
        </w:rPr>
        <w:t xml:space="preserve">Tous les 6 mois: Vérification completude et exactitude des données</w:t>
      </w:r>
    </w:p>
    <w:p>
      <w:pPr>
        <w:pStyle w:val="ListParagraph"/>
        <w:numPr>
          <w:ilvl w:val="0"/>
          <w:numId w:val="2"/>
        </w:numPr>
      </w:pPr>
      <w:r>
        <w:rPr>
          <w:rFonts w:ascii="Arial" w:cs="Arial" w:eastAsia="Arial" w:hAnsi="Arial"/>
          <w:color w:val="404040"/>
          <w:sz w:val="22"/>
          <w:szCs w:val="22"/>
        </w:rPr>
        <w:t xml:space="preserve">Annuellement: Reevaluation des risques et conformité pour chaque solution</w:t>
      </w:r>
    </w:p>
    <w:p>
      <w:pPr>
        <w:pStyle w:val="ListParagraph"/>
        <w:numPr>
          <w:ilvl w:val="0"/>
          <w:numId w:val="2"/>
        </w:numPr>
      </w:pPr>
      <w:r>
        <w:rPr>
          <w:rFonts w:ascii="Arial" w:cs="Arial" w:eastAsia="Arial" w:hAnsi="Arial"/>
          <w:color w:val="404040"/>
          <w:sz w:val="22"/>
          <w:szCs w:val="22"/>
        </w:rPr>
        <w:t xml:space="preserve">Lors d'audit: Vérification de la précision et de la coherence</w:t>
      </w:r>
    </w:p>
    <w:p>
      <w:r>
        <w:br w:type="page"/>
      </w:r>
    </w:p>
    <w:p>
      <w:pPr>
        <w:pStyle w:val="Heading1"/>
      </w:pPr>
      <w:r>
        <w:t xml:space="preserve">Utilisation du registre</w:t>
      </w:r>
    </w:p>
    <w:p>
      <w:pPr>
        <w:pStyle w:val="Heading2"/>
      </w:pPr>
      <w:r>
        <w:t xml:space="preserve">Rapports et analyses</w:t>
      </w:r>
    </w:p>
    <w:p>
      <w:r>
        <w:rPr>
          <w:rFonts w:ascii="Arial" w:cs="Arial" w:eastAsia="Arial" w:hAnsi="Arial"/>
          <w:color w:val="404040"/>
          <w:sz w:val="22"/>
          <w:szCs w:val="22"/>
        </w:rPr>
        <w:t xml:space="preserve">Le registre permet de generer les rapports suivants :</w:t>
      </w:r>
    </w:p>
    <w:p>
      <w:pPr>
        <w:pStyle w:val="ListParagraph"/>
        <w:numPr>
          <w:ilvl w:val="0"/>
          <w:numId w:val="2"/>
        </w:numPr>
      </w:pPr>
      <w:r>
        <w:rPr>
          <w:rFonts w:ascii="Arial" w:cs="Arial" w:eastAsia="Arial" w:hAnsi="Arial"/>
          <w:color w:val="404040"/>
          <w:sz w:val="22"/>
          <w:szCs w:val="22"/>
        </w:rPr>
        <w:t xml:space="preserve">Liste des solutions en environnement de production</w:t>
      </w:r>
    </w:p>
    <w:p>
      <w:pPr>
        <w:pStyle w:val="ListParagraph"/>
        <w:numPr>
          <w:ilvl w:val="0"/>
          <w:numId w:val="2"/>
        </w:numPr>
      </w:pPr>
      <w:r>
        <w:rPr>
          <w:rFonts w:ascii="Arial" w:cs="Arial" w:eastAsia="Arial" w:hAnsi="Arial"/>
          <w:color w:val="404040"/>
          <w:sz w:val="22"/>
          <w:szCs w:val="22"/>
        </w:rPr>
        <w:t xml:space="preserve">Matrice des risques par solution et fournisseur</w:t>
      </w:r>
    </w:p>
    <w:p>
      <w:pPr>
        <w:pStyle w:val="ListParagraph"/>
        <w:numPr>
          <w:ilvl w:val="0"/>
          <w:numId w:val="2"/>
        </w:numPr>
      </w:pPr>
      <w:r>
        <w:rPr>
          <w:rFonts w:ascii="Arial" w:cs="Arial" w:eastAsia="Arial" w:hAnsi="Arial"/>
          <w:color w:val="404040"/>
          <w:sz w:val="22"/>
          <w:szCs w:val="22"/>
        </w:rPr>
        <w:t xml:space="preserve">Solutions en fin de contrat et necessitant renouvellement</w:t>
      </w:r>
    </w:p>
    <w:p>
      <w:pPr>
        <w:pStyle w:val="ListParagraph"/>
        <w:numPr>
          <w:ilvl w:val="0"/>
          <w:numId w:val="2"/>
        </w:numPr>
      </w:pPr>
      <w:r>
        <w:rPr>
          <w:rFonts w:ascii="Arial" w:cs="Arial" w:eastAsia="Arial" w:hAnsi="Arial"/>
          <w:color w:val="404040"/>
          <w:sz w:val="22"/>
          <w:szCs w:val="22"/>
        </w:rPr>
        <w:t xml:space="preserve">Solutions utilisant données personnelles et leur conformité</w:t>
      </w:r>
    </w:p>
    <w:p>
      <w:pPr>
        <w:pStyle w:val="ListParagraph"/>
        <w:numPr>
          <w:ilvl w:val="0"/>
          <w:numId w:val="2"/>
        </w:numPr>
      </w:pPr>
      <w:r>
        <w:rPr>
          <w:rFonts w:ascii="Arial" w:cs="Arial" w:eastAsia="Arial" w:hAnsi="Arial"/>
          <w:color w:val="404040"/>
          <w:sz w:val="22"/>
          <w:szCs w:val="22"/>
        </w:rPr>
        <w:t xml:space="preserve">Solutions critiques et leur plan de continuite</w:t>
      </w:r>
    </w:p>
    <w:p>
      <w:pPr>
        <w:pStyle w:val="ListParagraph"/>
        <w:numPr>
          <w:ilvl w:val="0"/>
          <w:numId w:val="2"/>
        </w:numPr>
      </w:pPr>
      <w:r>
        <w:rPr>
          <w:rFonts w:ascii="Arial" w:cs="Arial" w:eastAsia="Arial" w:hAnsi="Arial"/>
          <w:color w:val="404040"/>
          <w:sz w:val="22"/>
          <w:szCs w:val="22"/>
        </w:rPr>
        <w:t xml:space="preserve">Cout total de l'écosystème IA par departement/domaine</w:t>
      </w:r>
    </w:p>
    <w:p>
      <w:pPr>
        <w:pStyle w:val="Heading2"/>
      </w:pPr>
      <w:r>
        <w:t xml:space="preserve">Intégration avec gouvernance</w:t>
      </w:r>
    </w:p>
    <w:p>
      <w:r>
        <w:rPr>
          <w:rFonts w:ascii="Arial" w:cs="Arial" w:eastAsia="Arial" w:hAnsi="Arial"/>
          <w:color w:val="404040"/>
          <w:sz w:val="22"/>
          <w:szCs w:val="22"/>
        </w:rPr>
        <w:t xml:space="preserve">Le registre sert de base pour :</w:t>
      </w:r>
    </w:p>
    <w:p>
      <w:pPr>
        <w:pStyle w:val="ListParagraph"/>
        <w:numPr>
          <w:ilvl w:val="0"/>
          <w:numId w:val="2"/>
        </w:numPr>
      </w:pPr>
      <w:r>
        <w:rPr>
          <w:rFonts w:ascii="Arial" w:cs="Arial" w:eastAsia="Arial" w:hAnsi="Arial"/>
          <w:color w:val="404040"/>
          <w:sz w:val="22"/>
          <w:szCs w:val="22"/>
        </w:rPr>
        <w:t xml:space="preserve">Comite de gouvernance IA: révision periodique et decisions d'escalade</w:t>
      </w:r>
    </w:p>
    <w:p>
      <w:pPr>
        <w:pStyle w:val="ListParagraph"/>
        <w:numPr>
          <w:ilvl w:val="0"/>
          <w:numId w:val="2"/>
        </w:numPr>
      </w:pPr>
      <w:r>
        <w:rPr>
          <w:rFonts w:ascii="Arial" w:cs="Arial" w:eastAsia="Arial" w:hAnsi="Arial"/>
          <w:color w:val="404040"/>
          <w:sz w:val="22"/>
          <w:szCs w:val="22"/>
        </w:rPr>
        <w:t xml:space="preserve">Gestion des risques: identification des risques organisationnels lies aux fournisseurs</w:t>
      </w:r>
    </w:p>
    <w:p>
      <w:pPr>
        <w:pStyle w:val="ListParagraph"/>
        <w:numPr>
          <w:ilvl w:val="0"/>
          <w:numId w:val="2"/>
        </w:numPr>
      </w:pPr>
      <w:r>
        <w:rPr>
          <w:rFonts w:ascii="Arial" w:cs="Arial" w:eastAsia="Arial" w:hAnsi="Arial"/>
          <w:color w:val="404040"/>
          <w:sz w:val="22"/>
          <w:szCs w:val="22"/>
        </w:rPr>
        <w:t xml:space="preserve">Planification de continuite: documentation des solutions critiques</w:t>
      </w:r>
    </w:p>
    <w:p>
      <w:pPr>
        <w:pStyle w:val="ListParagraph"/>
        <w:numPr>
          <w:ilvl w:val="0"/>
          <w:numId w:val="2"/>
        </w:numPr>
      </w:pPr>
      <w:r>
        <w:rPr>
          <w:rFonts w:ascii="Arial" w:cs="Arial" w:eastAsia="Arial" w:hAnsi="Arial"/>
          <w:color w:val="404040"/>
          <w:sz w:val="22"/>
          <w:szCs w:val="22"/>
        </w:rPr>
        <w:t xml:space="preserve">Audit et conformité: validation de la conformité avec les lois et normes</w:t>
      </w:r>
    </w:p>
    <w:p>
      <w:pPr>
        <w:pStyle w:val="ListParagraph"/>
        <w:numPr>
          <w:ilvl w:val="0"/>
          <w:numId w:val="2"/>
        </w:numPr>
      </w:pPr>
      <w:r>
        <w:rPr>
          <w:rFonts w:ascii="Arial" w:cs="Arial" w:eastAsia="Arial" w:hAnsi="Arial"/>
          <w:color w:val="404040"/>
          <w:sz w:val="22"/>
          <w:szCs w:val="22"/>
        </w:rPr>
        <w:t xml:space="preserve">Planification budgetaire: cout des solutions IA</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Registre des fournisseurs et solutions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2026-03-05T02:14:25.434Z</dcterms:created>
  <dcterms:modified xsi:type="dcterms:W3CDTF">2026-03-05T02:14:25.434Z</dcterms:modified>
</cp:coreProperties>
</file>

<file path=docProps/custom.xml><?xml version="1.0" encoding="utf-8"?>
<Properties xmlns="http://schemas.openxmlformats.org/officeDocument/2006/custom-properties" xmlns:vt="http://schemas.openxmlformats.org/officeDocument/2006/docPropsVTypes"/>
</file>