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Grille d'évaluation des risques fournisseurs IA</w:t>
      </w:r>
    </w:p>
    <w:p>
      <w:pPr>
        <w:spacing w:after="600"/>
        <w:jc w:val="center"/>
      </w:pPr>
      <w:r>
        <w:rPr>
          <w:rFonts w:ascii="Arial" w:cs="Arial" w:eastAsia="Arial" w:hAnsi="Arial"/>
          <w:color w:val="2E75B6"/>
          <w:sz w:val="24"/>
          <w:szCs w:val="24"/>
        </w:rPr>
        <w:t xml:space="preserve">Matrice de risque et évaluation spécifique des dependencies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La présente grille d'évaluation des risques fournisseurs permet d'identifier, analyser et evaluer les risques spécifiques poses par les dependencies envers les fournisseurs de solutions IA. Elle se concentre sur les aspects propres aux fournisseurs plutot que sur la solution elle-meme.</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Identifier les risques opérationnels, juridiques et strategiques lies aux fournisseurs</w:t>
      </w:r>
    </w:p>
    <w:p>
      <w:pPr>
        <w:pStyle w:val="ListParagraph"/>
        <w:numPr>
          <w:ilvl w:val="0"/>
          <w:numId w:val="2"/>
        </w:numPr>
      </w:pPr>
      <w:r>
        <w:rPr>
          <w:rFonts w:ascii="Arial" w:cs="Arial" w:eastAsia="Arial" w:hAnsi="Arial"/>
          <w:color w:val="404040"/>
          <w:sz w:val="22"/>
          <w:szCs w:val="22"/>
        </w:rPr>
        <w:t xml:space="preserve">Évaluer le degre de dependance de l'organisation envers chaque fournisseur</w:t>
      </w:r>
    </w:p>
    <w:p>
      <w:pPr>
        <w:pStyle w:val="ListParagraph"/>
        <w:numPr>
          <w:ilvl w:val="0"/>
          <w:numId w:val="2"/>
        </w:numPr>
      </w:pPr>
      <w:r>
        <w:rPr>
          <w:rFonts w:ascii="Arial" w:cs="Arial" w:eastAsia="Arial" w:hAnsi="Arial"/>
          <w:color w:val="404040"/>
          <w:sz w:val="22"/>
          <w:szCs w:val="22"/>
        </w:rPr>
        <w:t xml:space="preserve">Établir des mesures de mitigation et des plans de contingence</w:t>
      </w:r>
    </w:p>
    <w:p>
      <w:pPr>
        <w:pStyle w:val="ListParagraph"/>
        <w:numPr>
          <w:ilvl w:val="0"/>
          <w:numId w:val="2"/>
        </w:numPr>
      </w:pPr>
      <w:r>
        <w:rPr>
          <w:rFonts w:ascii="Arial" w:cs="Arial" w:eastAsia="Arial" w:hAnsi="Arial"/>
          <w:color w:val="404040"/>
          <w:sz w:val="22"/>
          <w:szCs w:val="22"/>
        </w:rPr>
        <w:t xml:space="preserve">Assurer une diversification saine des fournisseurs pour reduire les risques</w:t>
      </w:r>
    </w:p>
    <w:p>
      <w:pPr>
        <w:pStyle w:val="ListParagraph"/>
        <w:numPr>
          <w:ilvl w:val="0"/>
          <w:numId w:val="2"/>
        </w:numPr>
      </w:pPr>
      <w:r>
        <w:rPr>
          <w:rFonts w:ascii="Arial" w:cs="Arial" w:eastAsia="Arial" w:hAnsi="Arial"/>
          <w:color w:val="404040"/>
          <w:sz w:val="22"/>
          <w:szCs w:val="22"/>
        </w:rPr>
        <w:t xml:space="preserve">Surveiller continuellement la sante financiere et opérationnelle des fournisseurs</w:t>
      </w:r>
    </w:p>
    <w:p>
      <w:r>
        <w:br w:type="page"/>
      </w:r>
    </w:p>
    <w:p>
      <w:pPr>
        <w:pStyle w:val="Heading1"/>
      </w:pPr>
      <w:r>
        <w:t xml:space="preserve">Cadre d'évaluation des risques fournisseurs</w:t>
      </w:r>
    </w:p>
    <w:p>
      <w:pPr>
        <w:pStyle w:val="Heading2"/>
      </w:pPr>
      <w:r>
        <w:t xml:space="preserve">Categorie 1: Risque de dependance strategique</w:t>
      </w:r>
    </w:p>
    <w:p>
      <w:r>
        <w:rPr>
          <w:rFonts w:ascii="Arial" w:cs="Arial" w:eastAsia="Arial" w:hAnsi="Arial"/>
          <w:color w:val="404040"/>
          <w:sz w:val="22"/>
          <w:szCs w:val="22"/>
        </w:rPr>
        <w:t xml:space="preserve">Évaluation du risque pose par une dependance trop importante envers un seul fournisseur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 de risque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solutions critiques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solutions critiques fournies par ce fournisseur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Elevee | 3+: Tres elevee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Accessibilite de substituts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Existence de solutions alternatives suffisamment equivalentes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Aucune alternative: Critique | Quelques: Modere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Facilite de migration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et complexite pour migrer vers un autre fournisseur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Difficile: Elevee | Facile: Faible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opérationnel d'une defaillance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Perturbation si le fournisseur devient indisponible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Tres elevee | Basse: Faible</w:t>
            </w:r>
          </w:p>
        </w:tc>
      </w:tr>
    </w:tbl>
    <w:p>
      <w:pPr>
        <w:pStyle w:val="Heading2"/>
      </w:pPr>
      <w:r>
        <w:t xml:space="preserve">Categorie 2: Risque de localisation des données</w:t>
      </w:r>
    </w:p>
    <w:p>
      <w:r>
        <w:rPr>
          <w:rFonts w:ascii="Arial" w:cs="Arial" w:eastAsia="Arial" w:hAnsi="Arial"/>
          <w:color w:val="404040"/>
          <w:sz w:val="22"/>
          <w:szCs w:val="22"/>
        </w:rPr>
        <w:t xml:space="preserve">Évaluation du risque lie a la localisation physique des données et aux juridictions applicables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6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 de risque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Niveaux de risque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Localisation des données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 les données sont physiquement stockees et traitees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Hors Canada: Critique | Autre prov.: Modere | Quebec: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Juridiction applicable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Lois et regulations qui s'appliquent a la solution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Autorite etrangere: Critique | Canada: Modere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Accès par autorites etr.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d'accès aux données par autorites etrangeres (ex: CLOUD Act USA)</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eleve: Critique | Protege: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Souverainete des données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Contrôle complet par [NOM_ORGANISATION] sur ses données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Contrôle limite: Critique | Complet: Faible</w:t>
            </w:r>
          </w:p>
        </w:tc>
      </w:tr>
    </w:tbl>
    <w:p>
      <w:pPr>
        <w:pStyle w:val="Heading2"/>
      </w:pPr>
      <w:r>
        <w:t xml:space="preserve">Categorie 3: Risque de continuite et viabilite</w:t>
      </w:r>
    </w:p>
    <w:p>
      <w:r>
        <w:rPr>
          <w:rFonts w:ascii="Arial" w:cs="Arial" w:eastAsia="Arial" w:hAnsi="Arial"/>
          <w:color w:val="404040"/>
          <w:sz w:val="22"/>
          <w:szCs w:val="22"/>
        </w:rPr>
        <w:t xml:space="preserve">Évaluation du risque que le fournisseur ne puisse plus fournir le 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 de risque</w:t>
            </w:r>
          </w:p>
        </w:tc>
        <w:tc>
          <w:tcPr>
            <w:tcW w:type="dxa" w:w="3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Indicateurs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Sante financiere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Solvabilite et viabilite financiere a long terme du fournisseur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Profits negatifs: Critique | Croissance stable: Faible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Stabilite du leadership</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Changements majeurs de management ou de propriete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 recent: Modere | Stable: Faible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Taille et maturite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Taille de l'organisation et présence de marche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Startup precaire: Critique | Grand etabli: Faible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Burn rate et financement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de depense vs revenus, disponibilité de financement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Burn eleve/fin. limite: Critique | Positif: Faible</w:t>
            </w:r>
          </w:p>
        </w:tc>
      </w:tr>
    </w:tbl>
    <w:p>
      <w:pPr>
        <w:pStyle w:val="Heading2"/>
      </w:pPr>
      <w:r>
        <w:t xml:space="preserve">Categorie 4: Risque de sécurité et conformité</w:t>
      </w:r>
    </w:p>
    <w:p>
      <w:r>
        <w:rPr>
          <w:rFonts w:ascii="Arial" w:cs="Arial" w:eastAsia="Arial" w:hAnsi="Arial"/>
          <w:color w:val="404040"/>
          <w:sz w:val="22"/>
          <w:szCs w:val="22"/>
        </w:rPr>
        <w:t xml:space="preserve">Évaluation des risques de sécurité, breaches et non-conformité réglementaire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6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 de risque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Niveaux de risque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Historique de breaches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Incidents de sécurité anterieurs du fournisseur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Breaches multiples: Critique | Aucun connu: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Certifications de sécurité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Certifications et audits indépendants (ISO, SOC2, etc)</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Aucune: Critique | Multiples a jour: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Rapidite des patches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moyen pour déployer security patches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30 jours: Critique | &lt; 7 jours: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 post-incident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 sur incidents et mesures correctives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Opaque: Critique | Transparent: Faible</w:t>
            </w:r>
          </w:p>
        </w:tc>
      </w:tr>
    </w:tbl>
    <w:p>
      <w:pPr>
        <w:pStyle w:val="Heading2"/>
      </w:pPr>
      <w:r>
        <w:t xml:space="preserve">Categorie 5: Risque de conformité légale</w:t>
      </w:r>
    </w:p>
    <w:p>
      <w:r>
        <w:rPr>
          <w:rFonts w:ascii="Arial" w:cs="Arial" w:eastAsia="Arial" w:hAnsi="Arial"/>
          <w:color w:val="404040"/>
          <w:sz w:val="22"/>
          <w:szCs w:val="22"/>
        </w:rPr>
        <w:t xml:space="preserve">Évaluation de la conformité du fournisseur avec regulations et lois applicables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6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 de risque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Niveaux de risque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Loi 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de traitement et respect de la Loi 25 Quebec</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conforme: Critique | Conforme: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PIPEDA</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 de PIPEDA et gestion des données canadiennes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Doute sur conformité: Modere | Conforme certifie: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 RGPD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 données UE: conformité RGPD et transferts autorises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conforme: Critique | Conforme: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de conformité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Audits indépendants verifiant la conformité légale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Aucun audit: Critique | Audits reguliers: Faible</w:t>
            </w:r>
          </w:p>
        </w:tc>
      </w:tr>
    </w:tbl>
    <w:p>
      <w:pPr>
        <w:pStyle w:val="Heading2"/>
      </w:pPr>
      <w:r>
        <w:t xml:space="preserve">Categorie 6: Risque de support et maintenance</w:t>
      </w:r>
    </w:p>
    <w:p>
      <w:r>
        <w:rPr>
          <w:rFonts w:ascii="Arial" w:cs="Arial" w:eastAsia="Arial" w:hAnsi="Arial"/>
          <w:color w:val="404040"/>
          <w:sz w:val="22"/>
          <w:szCs w:val="22"/>
        </w:rPr>
        <w:t xml:space="preserve">Évaluation du risque que le fournisseur ne puisse pas assurer le support adequat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6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 de risque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Niveaux de risque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Qualite du support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Reactivite et qualite du support technique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 limite: Modere | Support 24/7: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et penalites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SLAs contractuels et consequences de non-respect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faible/aucune: Modere | SLA strict avec penalites: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Maintenance planifiee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Frequ/duree des maintenances et impact opérationnel</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Frequente/longue: Elevee | Rare/courte: Faible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Roadmap produit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Clarte et continuity de la feuille de route produit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Flou/incertain: Modere | Clair/engage: Faible</w:t>
            </w:r>
          </w:p>
        </w:tc>
      </w:tr>
    </w:tbl>
    <w:p>
      <w:r>
        <w:br w:type="page"/>
      </w:r>
    </w:p>
    <w:p>
      <w:pPr>
        <w:pStyle w:val="Heading1"/>
      </w:pPr>
      <w:r>
        <w:t xml:space="preserve">Matrice d'évaluation des risques</w:t>
      </w:r>
    </w:p>
    <w:p>
      <w:pPr>
        <w:pStyle w:val="Heading2"/>
      </w:pPr>
      <w:r>
        <w:t xml:space="preserve">Echelle de scoring</w:t>
      </w:r>
    </w:p>
    <w:p>
      <w:r>
        <w:rPr>
          <w:rFonts w:ascii="Arial" w:cs="Arial" w:eastAsia="Arial" w:hAnsi="Arial"/>
          <w:color w:val="404040"/>
          <w:sz w:val="22"/>
          <w:szCs w:val="22"/>
        </w:rPr>
        <w:t xml:space="preserve">Chaque facteur de risque est evalue sur une echelle de 1 a 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Interpretation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majeur, action immediate requise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Elevee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significatif, attenuation requise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acceptable avec surveillance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 minimal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Negligeable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Pratiquement aucun risque detectable</w:t>
            </w:r>
          </w:p>
        </w:tc>
      </w:tr>
    </w:tbl>
    <w:p>
      <w:pPr>
        <w:pStyle w:val="Heading2"/>
      </w:pPr>
      <w:r>
        <w:t xml:space="preserve">Calcul du score de risque fournisseur</w:t>
      </w:r>
    </w:p>
    <w:p>
      <w:r>
        <w:rPr>
          <w:rFonts w:ascii="Arial" w:cs="Arial" w:eastAsia="Arial" w:hAnsi="Arial"/>
          <w:color w:val="404040"/>
          <w:sz w:val="22"/>
          <w:szCs w:val="22"/>
        </w:rPr>
        <w:t xml:space="preserve">Score de risque = Moyenne des scores des 6 categories</w:t>
      </w:r>
    </w:p>
    <w:p>
      <w:r>
        <w:rPr>
          <w:rFonts w:ascii="Arial" w:cs="Arial" w:eastAsia="Arial" w:hAnsi="Arial"/>
          <w:color w:val="404040"/>
          <w:sz w:val="22"/>
          <w:szCs w:val="22"/>
        </w:rPr>
        <w:t xml:space="preserve">Score final par categorie = Somme(Facteur X Poids) / Nombre de facteurs</w:t>
      </w:r>
    </w:p>
    <w:p>
      <w:pPr>
        <w:pStyle w:val="Heading2"/>
      </w:pPr>
      <w:r>
        <w:t xml:space="preserve">Interpretation du score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de risque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Actions requises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4.5 - 5.0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Remediation immediate, resiliation envisagee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3.5 - 4.4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Elevee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de mitigation, monitoring intensif</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2.5 - 3.4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Surveillance periodique, mesures preventives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1.5 - 2.4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Suivi standard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1.0 - 1.4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Negligeable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Documentationt, pas d'action speciale</w:t>
            </w:r>
          </w:p>
        </w:tc>
      </w:tr>
    </w:tbl>
    <w:p>
      <w:pPr>
        <w:pStyle w:val="Heading2"/>
      </w:pPr>
      <w:r>
        <w:t xml:space="preserve">Matrice de risque visuelle</w:t>
      </w:r>
    </w:p>
    <w:p>
      <w:r>
        <w:rPr>
          <w:rFonts w:ascii="Arial" w:cs="Arial" w:eastAsia="Arial" w:hAnsi="Arial"/>
          <w:color w:val="404040"/>
          <w:sz w:val="22"/>
          <w:szCs w:val="22"/>
        </w:rPr>
        <w:t xml:space="preserve">Une matrice 2x2 peut être utilisee pour visualiser les risques :</w:t>
      </w:r>
    </w:p>
    <w:p>
      <w:pPr>
        <w:pStyle w:val="ListParagraph"/>
        <w:numPr>
          <w:ilvl w:val="0"/>
          <w:numId w:val="2"/>
        </w:numPr>
      </w:pPr>
      <w:r>
        <w:rPr>
          <w:rFonts w:ascii="Arial" w:cs="Arial" w:eastAsia="Arial" w:hAnsi="Arial"/>
          <w:color w:val="404040"/>
          <w:sz w:val="22"/>
          <w:szCs w:val="22"/>
        </w:rPr>
        <w:t xml:space="preserve">Axe X: Probabilite d'occurrence du risque (Faible a Elevee)</w:t>
      </w:r>
    </w:p>
    <w:p>
      <w:pPr>
        <w:pStyle w:val="ListParagraph"/>
        <w:numPr>
          <w:ilvl w:val="0"/>
          <w:numId w:val="2"/>
        </w:numPr>
      </w:pPr>
      <w:r>
        <w:rPr>
          <w:rFonts w:ascii="Arial" w:cs="Arial" w:eastAsia="Arial" w:hAnsi="Arial"/>
          <w:color w:val="404040"/>
          <w:sz w:val="22"/>
          <w:szCs w:val="22"/>
        </w:rPr>
        <w:t xml:space="preserve">Axe Y: Impact si le risque se realise (Faible a Critique)</w:t>
      </w:r>
    </w:p>
    <w:p>
      <w:pPr>
        <w:pStyle w:val="ListParagraph"/>
        <w:numPr>
          <w:ilvl w:val="0"/>
          <w:numId w:val="2"/>
        </w:numPr>
      </w:pPr>
      <w:r>
        <w:rPr>
          <w:rFonts w:ascii="Arial" w:cs="Arial" w:eastAsia="Arial" w:hAnsi="Arial"/>
          <w:color w:val="404040"/>
          <w:sz w:val="22"/>
          <w:szCs w:val="22"/>
        </w:rPr>
        <w:t xml:space="preserve">Quadrants: Negligeable (bas-gauche), Acceptable (bas-droit + haut-gauche), Inacceptable (haut-droit)</w:t>
      </w:r>
    </w:p>
    <w:p>
      <w:r>
        <w:br w:type="page"/>
      </w:r>
    </w:p>
    <w:p>
      <w:pPr>
        <w:pStyle w:val="Heading1"/>
      </w:pPr>
      <w:r>
        <w:t xml:space="preserve">Plans de mitigation et contingence</w:t>
      </w:r>
    </w:p>
    <w:p>
      <w:pPr>
        <w:pStyle w:val="Heading2"/>
      </w:pPr>
      <w:r>
        <w:t xml:space="preserve">Mesures de mitigation par categorie</w:t>
      </w:r>
    </w:p>
    <w:p>
      <w:pPr>
        <w:pStyle w:val="Heading3"/>
      </w:pPr>
      <w:r>
        <w:t xml:space="preserve">Risque de dependance strategique</w:t>
      </w:r>
    </w:p>
    <w:p>
      <w:r>
        <w:rPr>
          <w:rFonts w:ascii="Arial" w:cs="Arial" w:eastAsia="Arial" w:hAnsi="Arial"/>
          <w:color w:val="404040"/>
          <w:sz w:val="22"/>
          <w:szCs w:val="22"/>
        </w:rPr>
        <w:t xml:space="preserve">Mesures de mitigation :</w:t>
      </w:r>
    </w:p>
    <w:p>
      <w:pPr>
        <w:pStyle w:val="ListParagraph"/>
        <w:numPr>
          <w:ilvl w:val="0"/>
          <w:numId w:val="2"/>
        </w:numPr>
      </w:pPr>
      <w:r>
        <w:rPr>
          <w:rFonts w:ascii="Arial" w:cs="Arial" w:eastAsia="Arial" w:hAnsi="Arial"/>
          <w:color w:val="404040"/>
          <w:sz w:val="22"/>
          <w:szCs w:val="22"/>
        </w:rPr>
        <w:t xml:space="preserve">Évaluer et documenter des solutions alternatives pour chaque solution critique</w:t>
      </w:r>
    </w:p>
    <w:p>
      <w:pPr>
        <w:pStyle w:val="ListParagraph"/>
        <w:numPr>
          <w:ilvl w:val="0"/>
          <w:numId w:val="2"/>
        </w:numPr>
      </w:pPr>
      <w:r>
        <w:rPr>
          <w:rFonts w:ascii="Arial" w:cs="Arial" w:eastAsia="Arial" w:hAnsi="Arial"/>
          <w:color w:val="404040"/>
          <w:sz w:val="22"/>
          <w:szCs w:val="22"/>
        </w:rPr>
        <w:t xml:space="preserve">Limiter le nombre de solutions critiques par fournisseur (max 2-3)</w:t>
      </w:r>
    </w:p>
    <w:p>
      <w:pPr>
        <w:pStyle w:val="ListParagraph"/>
        <w:numPr>
          <w:ilvl w:val="0"/>
          <w:numId w:val="2"/>
        </w:numPr>
      </w:pPr>
      <w:r>
        <w:rPr>
          <w:rFonts w:ascii="Arial" w:cs="Arial" w:eastAsia="Arial" w:hAnsi="Arial"/>
          <w:color w:val="404040"/>
          <w:sz w:val="22"/>
          <w:szCs w:val="22"/>
        </w:rPr>
        <w:t xml:space="preserve">Maintenir une capacité interne de replacement ou substitution</w:t>
      </w:r>
    </w:p>
    <w:p>
      <w:pPr>
        <w:pStyle w:val="ListParagraph"/>
        <w:numPr>
          <w:ilvl w:val="0"/>
          <w:numId w:val="2"/>
        </w:numPr>
      </w:pPr>
      <w:r>
        <w:rPr>
          <w:rFonts w:ascii="Arial" w:cs="Arial" w:eastAsia="Arial" w:hAnsi="Arial"/>
          <w:color w:val="404040"/>
          <w:sz w:val="22"/>
          <w:szCs w:val="22"/>
        </w:rPr>
        <w:t xml:space="preserve">Negocier des contrats permettant la réversibilité facile</w:t>
      </w:r>
    </w:p>
    <w:p>
      <w:pPr>
        <w:pStyle w:val="ListParagraph"/>
        <w:numPr>
          <w:ilvl w:val="0"/>
          <w:numId w:val="2"/>
        </w:numPr>
      </w:pPr>
      <w:r>
        <w:rPr>
          <w:rFonts w:ascii="Arial" w:cs="Arial" w:eastAsia="Arial" w:hAnsi="Arial"/>
          <w:color w:val="404040"/>
          <w:sz w:val="22"/>
          <w:szCs w:val="22"/>
        </w:rPr>
        <w:t xml:space="preserve">Diversifier les fournisseurs pour reduire la dependance</w:t>
      </w:r>
    </w:p>
    <w:p>
      <w:pPr>
        <w:pStyle w:val="Heading3"/>
      </w:pPr>
      <w:r>
        <w:t xml:space="preserve">Risque de localisation des données</w:t>
      </w:r>
    </w:p>
    <w:p>
      <w:r>
        <w:rPr>
          <w:rFonts w:ascii="Arial" w:cs="Arial" w:eastAsia="Arial" w:hAnsi="Arial"/>
          <w:color w:val="404040"/>
          <w:sz w:val="22"/>
          <w:szCs w:val="22"/>
        </w:rPr>
        <w:t xml:space="preserve">Mesures de mitigation :</w:t>
      </w:r>
    </w:p>
    <w:p>
      <w:pPr>
        <w:pStyle w:val="ListParagraph"/>
        <w:numPr>
          <w:ilvl w:val="0"/>
          <w:numId w:val="2"/>
        </w:numPr>
      </w:pPr>
      <w:r>
        <w:rPr>
          <w:rFonts w:ascii="Arial" w:cs="Arial" w:eastAsia="Arial" w:hAnsi="Arial"/>
          <w:color w:val="404040"/>
          <w:sz w:val="22"/>
          <w:szCs w:val="22"/>
        </w:rPr>
        <w:t xml:space="preserve">Exiger la localisation des données au Canada/Quebec par contrat</w:t>
      </w:r>
    </w:p>
    <w:p>
      <w:pPr>
        <w:pStyle w:val="ListParagraph"/>
        <w:numPr>
          <w:ilvl w:val="0"/>
          <w:numId w:val="2"/>
        </w:numPr>
      </w:pPr>
      <w:r>
        <w:rPr>
          <w:rFonts w:ascii="Arial" w:cs="Arial" w:eastAsia="Arial" w:hAnsi="Arial"/>
          <w:color w:val="404040"/>
          <w:sz w:val="22"/>
          <w:szCs w:val="22"/>
        </w:rPr>
        <w:t xml:space="preserve">Mettre en place des mecanismes de chiffrement des données (client-side encryption)</w:t>
      </w:r>
    </w:p>
    <w:p>
      <w:pPr>
        <w:pStyle w:val="ListParagraph"/>
        <w:numPr>
          <w:ilvl w:val="0"/>
          <w:numId w:val="2"/>
        </w:numPr>
      </w:pPr>
      <w:r>
        <w:rPr>
          <w:rFonts w:ascii="Arial" w:cs="Arial" w:eastAsia="Arial" w:hAnsi="Arial"/>
          <w:color w:val="404040"/>
          <w:sz w:val="22"/>
          <w:szCs w:val="22"/>
        </w:rPr>
        <w:t xml:space="preserve">Évaluer et negocier des clauses de protection contre l'accès par autorites etrangeres</w:t>
      </w:r>
    </w:p>
    <w:p>
      <w:pPr>
        <w:pStyle w:val="ListParagraph"/>
        <w:numPr>
          <w:ilvl w:val="0"/>
          <w:numId w:val="2"/>
        </w:numPr>
      </w:pPr>
      <w:r>
        <w:rPr>
          <w:rFonts w:ascii="Arial" w:cs="Arial" w:eastAsia="Arial" w:hAnsi="Arial"/>
          <w:color w:val="404040"/>
          <w:sz w:val="22"/>
          <w:szCs w:val="22"/>
        </w:rPr>
        <w:t xml:space="preserve">Envisager des solutions on-premise pour les données les plus sensibles</w:t>
      </w:r>
    </w:p>
    <w:p>
      <w:pPr>
        <w:pStyle w:val="Heading3"/>
      </w:pPr>
      <w:r>
        <w:t xml:space="preserve">Risque de continuite et viabilite</w:t>
      </w:r>
    </w:p>
    <w:p>
      <w:r>
        <w:rPr>
          <w:rFonts w:ascii="Arial" w:cs="Arial" w:eastAsia="Arial" w:hAnsi="Arial"/>
          <w:color w:val="404040"/>
          <w:sz w:val="22"/>
          <w:szCs w:val="22"/>
        </w:rPr>
        <w:t xml:space="preserve">Mesures de mitigation :</w:t>
      </w:r>
    </w:p>
    <w:p>
      <w:pPr>
        <w:pStyle w:val="ListParagraph"/>
        <w:numPr>
          <w:ilvl w:val="0"/>
          <w:numId w:val="2"/>
        </w:numPr>
      </w:pPr>
      <w:r>
        <w:rPr>
          <w:rFonts w:ascii="Arial" w:cs="Arial" w:eastAsia="Arial" w:hAnsi="Arial"/>
          <w:color w:val="404040"/>
          <w:sz w:val="22"/>
          <w:szCs w:val="22"/>
        </w:rPr>
        <w:t xml:space="preserve">Monitoring periodique de la sante financiere du fournisseur</w:t>
      </w:r>
    </w:p>
    <w:p>
      <w:pPr>
        <w:pStyle w:val="ListParagraph"/>
        <w:numPr>
          <w:ilvl w:val="0"/>
          <w:numId w:val="2"/>
        </w:numPr>
      </w:pPr>
      <w:r>
        <w:rPr>
          <w:rFonts w:ascii="Arial" w:cs="Arial" w:eastAsia="Arial" w:hAnsi="Arial"/>
          <w:color w:val="404040"/>
          <w:sz w:val="22"/>
          <w:szCs w:val="22"/>
        </w:rPr>
        <w:t xml:space="preserve">Vérification annuelle de la stabilite du leadership et strategie</w:t>
      </w:r>
    </w:p>
    <w:p>
      <w:pPr>
        <w:pStyle w:val="ListParagraph"/>
        <w:numPr>
          <w:ilvl w:val="0"/>
          <w:numId w:val="2"/>
        </w:numPr>
      </w:pPr>
      <w:r>
        <w:rPr>
          <w:rFonts w:ascii="Arial" w:cs="Arial" w:eastAsia="Arial" w:hAnsi="Arial"/>
          <w:color w:val="404040"/>
          <w:sz w:val="22"/>
          <w:szCs w:val="22"/>
        </w:rPr>
        <w:t xml:space="preserve">Diversification pour ne pas dependre d'un seul fournisseur</w:t>
      </w:r>
    </w:p>
    <w:p>
      <w:pPr>
        <w:pStyle w:val="ListParagraph"/>
        <w:numPr>
          <w:ilvl w:val="0"/>
          <w:numId w:val="2"/>
        </w:numPr>
      </w:pPr>
      <w:r>
        <w:rPr>
          <w:rFonts w:ascii="Arial" w:cs="Arial" w:eastAsia="Arial" w:hAnsi="Arial"/>
          <w:color w:val="404040"/>
          <w:sz w:val="22"/>
          <w:szCs w:val="22"/>
        </w:rPr>
        <w:t xml:space="preserve">Plan de contingence pour migration vers solution alternative</w:t>
      </w:r>
    </w:p>
    <w:p>
      <w:pPr>
        <w:pStyle w:val="Heading3"/>
      </w:pPr>
      <w:r>
        <w:t xml:space="preserve">Risque de sécurité et conformité</w:t>
      </w:r>
    </w:p>
    <w:p>
      <w:r>
        <w:rPr>
          <w:rFonts w:ascii="Arial" w:cs="Arial" w:eastAsia="Arial" w:hAnsi="Arial"/>
          <w:color w:val="404040"/>
          <w:sz w:val="22"/>
          <w:szCs w:val="22"/>
        </w:rPr>
        <w:t xml:space="preserve">Mesures de mitigation :</w:t>
      </w:r>
    </w:p>
    <w:p>
      <w:pPr>
        <w:pStyle w:val="ListParagraph"/>
        <w:numPr>
          <w:ilvl w:val="0"/>
          <w:numId w:val="2"/>
        </w:numPr>
      </w:pPr>
      <w:r>
        <w:rPr>
          <w:rFonts w:ascii="Arial" w:cs="Arial" w:eastAsia="Arial" w:hAnsi="Arial"/>
          <w:color w:val="404040"/>
          <w:sz w:val="22"/>
          <w:szCs w:val="22"/>
        </w:rPr>
        <w:t xml:space="preserve">Exiger des certifications de sécurité (ISO 27001, SOC 2)</w:t>
      </w:r>
    </w:p>
    <w:p>
      <w:pPr>
        <w:pStyle w:val="ListParagraph"/>
        <w:numPr>
          <w:ilvl w:val="0"/>
          <w:numId w:val="2"/>
        </w:numPr>
      </w:pPr>
      <w:r>
        <w:rPr>
          <w:rFonts w:ascii="Arial" w:cs="Arial" w:eastAsia="Arial" w:hAnsi="Arial"/>
          <w:color w:val="404040"/>
          <w:sz w:val="22"/>
          <w:szCs w:val="22"/>
        </w:rPr>
        <w:t xml:space="preserve">Audits de sécurité reguliers (pentest, code review)</w:t>
      </w:r>
    </w:p>
    <w:p>
      <w:pPr>
        <w:pStyle w:val="ListParagraph"/>
        <w:numPr>
          <w:ilvl w:val="0"/>
          <w:numId w:val="2"/>
        </w:numPr>
      </w:pPr>
      <w:r>
        <w:rPr>
          <w:rFonts w:ascii="Arial" w:cs="Arial" w:eastAsia="Arial" w:hAnsi="Arial"/>
          <w:color w:val="404040"/>
          <w:sz w:val="22"/>
          <w:szCs w:val="22"/>
        </w:rPr>
        <w:t xml:space="preserve">Clauses contractuelles fortes sur incidents de sécurité</w:t>
      </w:r>
    </w:p>
    <w:p>
      <w:pPr>
        <w:pStyle w:val="ListParagraph"/>
        <w:numPr>
          <w:ilvl w:val="0"/>
          <w:numId w:val="2"/>
        </w:numPr>
      </w:pPr>
      <w:r>
        <w:rPr>
          <w:rFonts w:ascii="Arial" w:cs="Arial" w:eastAsia="Arial" w:hAnsi="Arial"/>
          <w:color w:val="404040"/>
          <w:sz w:val="22"/>
          <w:szCs w:val="22"/>
        </w:rPr>
        <w:t xml:space="preserve">Surveillance de l'historique de vulnerabilites et patches</w:t>
      </w:r>
    </w:p>
    <w:p>
      <w:pPr>
        <w:pStyle w:val="Heading3"/>
      </w:pPr>
      <w:r>
        <w:t xml:space="preserve">Risque de conformité légale</w:t>
      </w:r>
    </w:p>
    <w:p>
      <w:r>
        <w:rPr>
          <w:rFonts w:ascii="Arial" w:cs="Arial" w:eastAsia="Arial" w:hAnsi="Arial"/>
          <w:color w:val="404040"/>
          <w:sz w:val="22"/>
          <w:szCs w:val="22"/>
        </w:rPr>
        <w:t xml:space="preserve">Mesures de mitigation :</w:t>
      </w:r>
    </w:p>
    <w:p>
      <w:pPr>
        <w:pStyle w:val="ListParagraph"/>
        <w:numPr>
          <w:ilvl w:val="0"/>
          <w:numId w:val="2"/>
        </w:numPr>
      </w:pPr>
      <w:r>
        <w:rPr>
          <w:rFonts w:ascii="Arial" w:cs="Arial" w:eastAsia="Arial" w:hAnsi="Arial"/>
          <w:color w:val="404040"/>
          <w:sz w:val="22"/>
          <w:szCs w:val="22"/>
        </w:rPr>
        <w:t xml:space="preserve">Accord de traitement formalise pour données personnelles</w:t>
      </w:r>
    </w:p>
    <w:p>
      <w:pPr>
        <w:pStyle w:val="ListParagraph"/>
        <w:numPr>
          <w:ilvl w:val="0"/>
          <w:numId w:val="2"/>
        </w:numPr>
      </w:pPr>
      <w:r>
        <w:rPr>
          <w:rFonts w:ascii="Arial" w:cs="Arial" w:eastAsia="Arial" w:hAnsi="Arial"/>
          <w:color w:val="404040"/>
          <w:sz w:val="22"/>
          <w:szCs w:val="22"/>
        </w:rPr>
        <w:t xml:space="preserve">Audit de conformité annuel avec fournisseur</w:t>
      </w:r>
    </w:p>
    <w:p>
      <w:pPr>
        <w:pStyle w:val="ListParagraph"/>
        <w:numPr>
          <w:ilvl w:val="0"/>
          <w:numId w:val="2"/>
        </w:numPr>
      </w:pPr>
      <w:r>
        <w:rPr>
          <w:rFonts w:ascii="Arial" w:cs="Arial" w:eastAsia="Arial" w:hAnsi="Arial"/>
          <w:color w:val="404040"/>
          <w:sz w:val="22"/>
          <w:szCs w:val="22"/>
        </w:rPr>
        <w:t xml:space="preserve">Clauses contractuelles reflectant les exigences Loi 25, PIPEDA, RGPD</w:t>
      </w:r>
    </w:p>
    <w:p>
      <w:pPr>
        <w:pStyle w:val="ListParagraph"/>
        <w:numPr>
          <w:ilvl w:val="0"/>
          <w:numId w:val="2"/>
        </w:numPr>
      </w:pPr>
      <w:r>
        <w:rPr>
          <w:rFonts w:ascii="Arial" w:cs="Arial" w:eastAsia="Arial" w:hAnsi="Arial"/>
          <w:color w:val="404040"/>
          <w:sz w:val="22"/>
          <w:szCs w:val="22"/>
        </w:rPr>
        <w:t xml:space="preserve">Assurance responsabilité civile et cyberrisque adequate</w:t>
      </w:r>
    </w:p>
    <w:p>
      <w:pPr>
        <w:pStyle w:val="Heading3"/>
      </w:pPr>
      <w:r>
        <w:t xml:space="preserve">Risque de support et maintenance</w:t>
      </w:r>
    </w:p>
    <w:p>
      <w:r>
        <w:rPr>
          <w:rFonts w:ascii="Arial" w:cs="Arial" w:eastAsia="Arial" w:hAnsi="Arial"/>
          <w:color w:val="404040"/>
          <w:sz w:val="22"/>
          <w:szCs w:val="22"/>
        </w:rPr>
        <w:t xml:space="preserve">Mesures de mitigation :</w:t>
      </w:r>
    </w:p>
    <w:p>
      <w:pPr>
        <w:pStyle w:val="ListParagraph"/>
        <w:numPr>
          <w:ilvl w:val="0"/>
          <w:numId w:val="2"/>
        </w:numPr>
      </w:pPr>
      <w:r>
        <w:rPr>
          <w:rFonts w:ascii="Arial" w:cs="Arial" w:eastAsia="Arial" w:hAnsi="Arial"/>
          <w:color w:val="404040"/>
          <w:sz w:val="22"/>
          <w:szCs w:val="22"/>
        </w:rPr>
        <w:t xml:space="preserve">SLA contractuels clairs avec penalites en cas de non-respect</w:t>
      </w:r>
    </w:p>
    <w:p>
      <w:pPr>
        <w:pStyle w:val="ListParagraph"/>
        <w:numPr>
          <w:ilvl w:val="0"/>
          <w:numId w:val="2"/>
        </w:numPr>
      </w:pPr>
      <w:r>
        <w:rPr>
          <w:rFonts w:ascii="Arial" w:cs="Arial" w:eastAsia="Arial" w:hAnsi="Arial"/>
          <w:color w:val="404040"/>
          <w:sz w:val="22"/>
          <w:szCs w:val="22"/>
        </w:rPr>
        <w:t xml:space="preserve">Support technique redundant (multi-contacts)</w:t>
      </w:r>
    </w:p>
    <w:p>
      <w:pPr>
        <w:pStyle w:val="ListParagraph"/>
        <w:numPr>
          <w:ilvl w:val="0"/>
          <w:numId w:val="2"/>
        </w:numPr>
      </w:pPr>
      <w:r>
        <w:rPr>
          <w:rFonts w:ascii="Arial" w:cs="Arial" w:eastAsia="Arial" w:hAnsi="Arial"/>
          <w:color w:val="404040"/>
          <w:sz w:val="22"/>
          <w:szCs w:val="22"/>
        </w:rPr>
        <w:t xml:space="preserve">Maintenance planifiee en heures creuses et communiquee a l'avance</w:t>
      </w:r>
    </w:p>
    <w:p>
      <w:pPr>
        <w:pStyle w:val="ListParagraph"/>
        <w:numPr>
          <w:ilvl w:val="0"/>
          <w:numId w:val="2"/>
        </w:numPr>
      </w:pPr>
      <w:r>
        <w:rPr>
          <w:rFonts w:ascii="Arial" w:cs="Arial" w:eastAsia="Arial" w:hAnsi="Arial"/>
          <w:color w:val="404040"/>
          <w:sz w:val="22"/>
          <w:szCs w:val="22"/>
        </w:rPr>
        <w:t xml:space="preserve">Formation interne pour reduce dependance au support fournisseur</w:t>
      </w:r>
    </w:p>
    <w:p>
      <w:r>
        <w:br w:type="page"/>
      </w:r>
    </w:p>
    <w:p>
      <w:pPr>
        <w:pStyle w:val="Heading1"/>
      </w:pPr>
      <w:r>
        <w:t xml:space="preserve">Monitoring et révision</w:t>
      </w:r>
    </w:p>
    <w:p>
      <w:pPr>
        <w:pStyle w:val="Heading2"/>
      </w:pPr>
      <w:r>
        <w:t xml:space="preserve">Indicateurs de surveillance</w:t>
      </w:r>
    </w:p>
    <w:p>
      <w:r>
        <w:rPr>
          <w:rFonts w:ascii="Arial" w:cs="Arial" w:eastAsia="Arial" w:hAnsi="Arial"/>
          <w:color w:val="404040"/>
          <w:sz w:val="22"/>
          <w:szCs w:val="22"/>
        </w:rPr>
        <w:t xml:space="preserve">Les indicateurs suivants sont surveilles pour chaque fournisseur :</w:t>
      </w:r>
    </w:p>
    <w:p>
      <w:pPr>
        <w:pStyle w:val="ListParagraph"/>
        <w:numPr>
          <w:ilvl w:val="0"/>
          <w:numId w:val="2"/>
        </w:numPr>
      </w:pPr>
      <w:r>
        <w:rPr>
          <w:rFonts w:ascii="Arial" w:cs="Arial" w:eastAsia="Arial" w:hAnsi="Arial"/>
          <w:color w:val="404040"/>
          <w:sz w:val="22"/>
          <w:szCs w:val="22"/>
        </w:rPr>
        <w:t xml:space="preserve">Disponibilité et performance (SLA compliance %)</w:t>
      </w:r>
    </w:p>
    <w:p>
      <w:pPr>
        <w:pStyle w:val="ListParagraph"/>
        <w:numPr>
          <w:ilvl w:val="0"/>
          <w:numId w:val="2"/>
        </w:numPr>
      </w:pPr>
      <w:r>
        <w:rPr>
          <w:rFonts w:ascii="Arial" w:cs="Arial" w:eastAsia="Arial" w:hAnsi="Arial"/>
          <w:color w:val="404040"/>
          <w:sz w:val="22"/>
          <w:szCs w:val="22"/>
        </w:rPr>
        <w:t xml:space="preserve">Incidents de sécurité et temps de resolution</w:t>
      </w:r>
    </w:p>
    <w:p>
      <w:pPr>
        <w:pStyle w:val="ListParagraph"/>
        <w:numPr>
          <w:ilvl w:val="0"/>
          <w:numId w:val="2"/>
        </w:numPr>
      </w:pPr>
      <w:r>
        <w:rPr>
          <w:rFonts w:ascii="Arial" w:cs="Arial" w:eastAsia="Arial" w:hAnsi="Arial"/>
          <w:color w:val="404040"/>
          <w:sz w:val="22"/>
          <w:szCs w:val="22"/>
        </w:rPr>
        <w:t xml:space="preserve">Sante financiere (revenus, profitabilite)</w:t>
      </w:r>
    </w:p>
    <w:p>
      <w:pPr>
        <w:pStyle w:val="ListParagraph"/>
        <w:numPr>
          <w:ilvl w:val="0"/>
          <w:numId w:val="2"/>
        </w:numPr>
      </w:pPr>
      <w:r>
        <w:rPr>
          <w:rFonts w:ascii="Arial" w:cs="Arial" w:eastAsia="Arial" w:hAnsi="Arial"/>
          <w:color w:val="404040"/>
          <w:sz w:val="22"/>
          <w:szCs w:val="22"/>
        </w:rPr>
        <w:t xml:space="preserve">Stabilite du leadership et changements organisationnels</w:t>
      </w:r>
    </w:p>
    <w:p>
      <w:pPr>
        <w:pStyle w:val="ListParagraph"/>
        <w:numPr>
          <w:ilvl w:val="0"/>
          <w:numId w:val="2"/>
        </w:numPr>
      </w:pPr>
      <w:r>
        <w:rPr>
          <w:rFonts w:ascii="Arial" w:cs="Arial" w:eastAsia="Arial" w:hAnsi="Arial"/>
          <w:color w:val="404040"/>
          <w:sz w:val="22"/>
          <w:szCs w:val="22"/>
        </w:rPr>
        <w:t xml:space="preserve">Conformite avec obligations contractuelles et légales</w:t>
      </w:r>
    </w:p>
    <w:p>
      <w:pPr>
        <w:pStyle w:val="ListParagraph"/>
        <w:numPr>
          <w:ilvl w:val="0"/>
          <w:numId w:val="2"/>
        </w:numPr>
      </w:pPr>
      <w:r>
        <w:rPr>
          <w:rFonts w:ascii="Arial" w:cs="Arial" w:eastAsia="Arial" w:hAnsi="Arial"/>
          <w:color w:val="404040"/>
          <w:sz w:val="22"/>
          <w:szCs w:val="22"/>
        </w:rPr>
        <w:t xml:space="preserve">Qualite du support et reactivite</w:t>
      </w:r>
    </w:p>
    <w:p>
      <w:pPr>
        <w:pStyle w:val="Heading2"/>
      </w:pPr>
      <w:r>
        <w:t xml:space="preserve">Frequence de révision</w:t>
      </w:r>
    </w:p>
    <w:p>
      <w:r>
        <w:rPr>
          <w:rFonts w:ascii="Arial" w:cs="Arial" w:eastAsia="Arial" w:hAnsi="Arial"/>
          <w:color w:val="404040"/>
          <w:sz w:val="22"/>
          <w:szCs w:val="22"/>
        </w:rPr>
        <w:t xml:space="preserve">Évaluation des risques fournisseurs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Frequence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de risque</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ou Elevee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Review complète, escalade si nécessaire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Review et vérification de mitigation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 ou Negligeable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Review standard et mise a jour</w:t>
            </w:r>
          </w:p>
        </w:tc>
      </w:tr>
    </w:tbl>
    <w:p>
      <w:pPr>
        <w:pStyle w:val="Heading2"/>
      </w:pPr>
      <w:r>
        <w:t xml:space="preserve">Processus d'escalade</w:t>
      </w:r>
    </w:p>
    <w:p>
      <w:r>
        <w:rPr>
          <w:rFonts w:ascii="Arial" w:cs="Arial" w:eastAsia="Arial" w:hAnsi="Arial"/>
          <w:color w:val="404040"/>
          <w:sz w:val="22"/>
          <w:szCs w:val="22"/>
        </w:rPr>
        <w:t xml:space="preserve">En cas d'identification d'un risque eleve ou critique :</w:t>
      </w:r>
    </w:p>
    <w:p>
      <w:pPr>
        <w:pStyle w:val="ListParagraph"/>
        <w:numPr>
          <w:ilvl w:val="0"/>
          <w:numId w:val="3"/>
        </w:numPr>
      </w:pPr>
      <w:r>
        <w:rPr>
          <w:rFonts w:ascii="Arial" w:cs="Arial" w:eastAsia="Arial" w:hAnsi="Arial"/>
          <w:color w:val="404040"/>
          <w:sz w:val="22"/>
          <w:szCs w:val="22"/>
        </w:rPr>
        <w:t xml:space="preserve">Notification immediate du Responsable IA et du Gestionnaire de contrat</w:t>
      </w:r>
    </w:p>
    <w:p>
      <w:pPr>
        <w:pStyle w:val="ListParagraph"/>
        <w:numPr>
          <w:ilvl w:val="0"/>
          <w:numId w:val="3"/>
        </w:numPr>
      </w:pPr>
      <w:r>
        <w:rPr>
          <w:rFonts w:ascii="Arial" w:cs="Arial" w:eastAsia="Arial" w:hAnsi="Arial"/>
          <w:color w:val="404040"/>
          <w:sz w:val="22"/>
          <w:szCs w:val="22"/>
        </w:rPr>
        <w:t xml:space="preserve">Analyse rapide de l'impact et des mesures correctives possibles</w:t>
      </w:r>
    </w:p>
    <w:p>
      <w:pPr>
        <w:pStyle w:val="ListParagraph"/>
        <w:numPr>
          <w:ilvl w:val="0"/>
          <w:numId w:val="3"/>
        </w:numPr>
      </w:pPr>
      <w:r>
        <w:rPr>
          <w:rFonts w:ascii="Arial" w:cs="Arial" w:eastAsia="Arial" w:hAnsi="Arial"/>
          <w:color w:val="404040"/>
          <w:sz w:val="22"/>
          <w:szCs w:val="22"/>
        </w:rPr>
        <w:t xml:space="preserve">Escalade au Comite de gouvernance IA si risque critique</w:t>
      </w:r>
    </w:p>
    <w:p>
      <w:pPr>
        <w:pStyle w:val="ListParagraph"/>
        <w:numPr>
          <w:ilvl w:val="0"/>
          <w:numId w:val="3"/>
        </w:numPr>
      </w:pPr>
      <w:r>
        <w:rPr>
          <w:rFonts w:ascii="Arial" w:cs="Arial" w:eastAsia="Arial" w:hAnsi="Arial"/>
          <w:color w:val="404040"/>
          <w:sz w:val="22"/>
          <w:szCs w:val="22"/>
        </w:rPr>
        <w:t xml:space="preserve">Mise en œuvre du plan de mitigation ou du plan de contingence</w:t>
      </w:r>
    </w:p>
    <w:p>
      <w:pPr>
        <w:pStyle w:val="ListParagraph"/>
        <w:numPr>
          <w:ilvl w:val="0"/>
          <w:numId w:val="3"/>
        </w:numPr>
      </w:pPr>
      <w:r>
        <w:rPr>
          <w:rFonts w:ascii="Arial" w:cs="Arial" w:eastAsia="Arial" w:hAnsi="Arial"/>
          <w:color w:val="404040"/>
          <w:sz w:val="22"/>
          <w:szCs w:val="22"/>
        </w:rPr>
        <w:t xml:space="preserve">Communication aux parties prenantes affectees</w:t>
      </w:r>
    </w:p>
    <w:p>
      <w:pPr>
        <w:pStyle w:val="ListParagraph"/>
        <w:numPr>
          <w:ilvl w:val="0"/>
          <w:numId w:val="3"/>
        </w:numPr>
      </w:pPr>
      <w:r>
        <w:rPr>
          <w:rFonts w:ascii="Arial" w:cs="Arial" w:eastAsia="Arial" w:hAnsi="Arial"/>
          <w:color w:val="404040"/>
          <w:sz w:val="22"/>
          <w:szCs w:val="22"/>
        </w:rPr>
        <w:t xml:space="preserve">Documentation et suivi jusqu'a resolution</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Grille d'évaluation des risques fournisseurs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2026-03-05T02:14:25.475Z</dcterms:created>
  <dcterms:modified xsi:type="dcterms:W3CDTF">2026-03-05T02:14:25.475Z</dcterms:modified>
</cp:coreProperties>
</file>

<file path=docProps/custom.xml><?xml version="1.0" encoding="utf-8"?>
<Properties xmlns="http://schemas.openxmlformats.org/officeDocument/2006/custom-properties" xmlns:vt="http://schemas.openxmlformats.org/officeDocument/2006/docPropsVTypes"/>
</file>