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de diligence raisonnable IA</w:t>
      </w:r>
    </w:p>
    <w:p>
      <w:pPr>
        <w:spacing w:after="600"/>
        <w:jc w:val="center"/>
      </w:pPr>
      <w:r>
        <w:rPr>
          <w:rFonts w:ascii="Arial" w:cs="Arial" w:eastAsia="Arial" w:hAnsi="Arial"/>
          <w:color w:val="2E75B6"/>
          <w:sz w:val="24"/>
          <w:szCs w:val="24"/>
        </w:rPr>
        <w:t xml:space="preserve">Processus de vérification prealable et checklist de diligence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Objectif et portee</w:t>
      </w:r>
    </w:p>
    <w:p>
      <w:r>
        <w:rPr>
          <w:rFonts w:ascii="Arial" w:cs="Arial" w:eastAsia="Arial" w:hAnsi="Arial"/>
          <w:color w:val="404040"/>
          <w:sz w:val="22"/>
          <w:szCs w:val="22"/>
        </w:rPr>
        <w:t xml:space="preserve">La présente politique définit le processus de diligence raisonnable (due diligence) que [NOM_ORGANISATION] applique avant d'integrer une nouvelle solution d'intelligence artificielle. Ce processus systemetique assure que toutes les dimensions technologiques, éthiques, juridiques et financieres sont evaluees de manière approfondie.</w:t>
      </w:r>
    </w:p>
    <w:p>
      <w:pPr>
        <w:pStyle w:val="Heading2"/>
      </w:pPr>
      <w:r>
        <w:t xml:space="preserve">Objectifs</w:t>
      </w:r>
    </w:p>
    <w:p>
      <w:pPr>
        <w:pStyle w:val="ListParagraph"/>
        <w:numPr>
          <w:ilvl w:val="0"/>
          <w:numId w:val="2"/>
        </w:numPr>
      </w:pPr>
      <w:r>
        <w:rPr>
          <w:rFonts w:ascii="Arial" w:cs="Arial" w:eastAsia="Arial" w:hAnsi="Arial"/>
          <w:color w:val="404040"/>
          <w:sz w:val="22"/>
          <w:szCs w:val="22"/>
        </w:rPr>
        <w:t xml:space="preserve">Évaluer comprehensivement les solutions IA avant leur intégration</w:t>
      </w:r>
    </w:p>
    <w:p>
      <w:pPr>
        <w:pStyle w:val="ListParagraph"/>
        <w:numPr>
          <w:ilvl w:val="0"/>
          <w:numId w:val="2"/>
        </w:numPr>
      </w:pPr>
      <w:r>
        <w:rPr>
          <w:rFonts w:ascii="Arial" w:cs="Arial" w:eastAsia="Arial" w:hAnsi="Arial"/>
          <w:color w:val="404040"/>
          <w:sz w:val="22"/>
          <w:szCs w:val="22"/>
        </w:rPr>
        <w:t xml:space="preserve">Identifier et attenuer les risques avant qu'ils ne se materialisent</w:t>
      </w:r>
    </w:p>
    <w:p>
      <w:pPr>
        <w:pStyle w:val="ListParagraph"/>
        <w:numPr>
          <w:ilvl w:val="0"/>
          <w:numId w:val="2"/>
        </w:numPr>
      </w:pPr>
      <w:r>
        <w:rPr>
          <w:rFonts w:ascii="Arial" w:cs="Arial" w:eastAsia="Arial" w:hAnsi="Arial"/>
          <w:color w:val="404040"/>
          <w:sz w:val="22"/>
          <w:szCs w:val="22"/>
        </w:rPr>
        <w:t xml:space="preserve">Assurer l'alignement avec la strategie et les valeurs de l'organisation</w:t>
      </w:r>
    </w:p>
    <w:p>
      <w:pPr>
        <w:pStyle w:val="ListParagraph"/>
        <w:numPr>
          <w:ilvl w:val="0"/>
          <w:numId w:val="2"/>
        </w:numPr>
      </w:pPr>
      <w:r>
        <w:rPr>
          <w:rFonts w:ascii="Arial" w:cs="Arial" w:eastAsia="Arial" w:hAnsi="Arial"/>
          <w:color w:val="404040"/>
          <w:sz w:val="22"/>
          <w:szCs w:val="22"/>
        </w:rPr>
        <w:t xml:space="preserve">Documenter les decisions et les justifications</w:t>
      </w:r>
    </w:p>
    <w:p>
      <w:pPr>
        <w:pStyle w:val="ListParagraph"/>
        <w:numPr>
          <w:ilvl w:val="0"/>
          <w:numId w:val="2"/>
        </w:numPr>
      </w:pPr>
      <w:r>
        <w:rPr>
          <w:rFonts w:ascii="Arial" w:cs="Arial" w:eastAsia="Arial" w:hAnsi="Arial"/>
          <w:color w:val="404040"/>
          <w:sz w:val="22"/>
          <w:szCs w:val="22"/>
        </w:rPr>
        <w:t xml:space="preserve">Établir des critères eliminatoires pour rejeter les solutions inacceptables</w:t>
      </w:r>
    </w:p>
    <w:p>
      <w:pPr>
        <w:pStyle w:val="Heading2"/>
      </w:pPr>
      <w:r>
        <w:t xml:space="preserve">Perimetre d'application</w:t>
      </w:r>
    </w:p>
    <w:p>
      <w:r>
        <w:rPr>
          <w:rFonts w:ascii="Arial" w:cs="Arial" w:eastAsia="Arial" w:hAnsi="Arial"/>
          <w:color w:val="404040"/>
          <w:sz w:val="22"/>
          <w:szCs w:val="22"/>
        </w:rPr>
        <w:t xml:space="preserve">La politique s'applique a :</w:t>
      </w:r>
    </w:p>
    <w:p>
      <w:pPr>
        <w:pStyle w:val="ListParagraph"/>
        <w:numPr>
          <w:ilvl w:val="0"/>
          <w:numId w:val="2"/>
        </w:numPr>
      </w:pPr>
      <w:r>
        <w:rPr>
          <w:rFonts w:ascii="Arial" w:cs="Arial" w:eastAsia="Arial" w:hAnsi="Arial"/>
          <w:color w:val="404040"/>
          <w:sz w:val="22"/>
          <w:szCs w:val="22"/>
        </w:rPr>
        <w:t xml:space="preserve">Toute nouvelle solution IA acquise auprès de fournisseurs externes (SaaS, PaaS, IaaS)</w:t>
      </w:r>
    </w:p>
    <w:p>
      <w:pPr>
        <w:pStyle w:val="ListParagraph"/>
        <w:numPr>
          <w:ilvl w:val="0"/>
          <w:numId w:val="2"/>
        </w:numPr>
      </w:pPr>
      <w:r>
        <w:rPr>
          <w:rFonts w:ascii="Arial" w:cs="Arial" w:eastAsia="Arial" w:hAnsi="Arial"/>
          <w:color w:val="404040"/>
          <w:sz w:val="22"/>
          <w:szCs w:val="22"/>
        </w:rPr>
        <w:t xml:space="preserve">Données d'entrainement et modeles pre-entraines acquis</w:t>
      </w:r>
    </w:p>
    <w:p>
      <w:pPr>
        <w:pStyle w:val="ListParagraph"/>
        <w:numPr>
          <w:ilvl w:val="0"/>
          <w:numId w:val="2"/>
        </w:numPr>
      </w:pPr>
      <w:r>
        <w:rPr>
          <w:rFonts w:ascii="Arial" w:cs="Arial" w:eastAsia="Arial" w:hAnsi="Arial"/>
          <w:color w:val="404040"/>
          <w:sz w:val="22"/>
          <w:szCs w:val="22"/>
        </w:rPr>
        <w:t xml:space="preserve">Services associés (intégration, consultation, formation)</w:t>
      </w:r>
    </w:p>
    <w:p>
      <w:pPr>
        <w:pStyle w:val="ListParagraph"/>
        <w:numPr>
          <w:ilvl w:val="0"/>
          <w:numId w:val="2"/>
        </w:numPr>
      </w:pPr>
      <w:r>
        <w:rPr>
          <w:rFonts w:ascii="Arial" w:cs="Arial" w:eastAsia="Arial" w:hAnsi="Arial"/>
          <w:color w:val="404040"/>
          <w:sz w:val="22"/>
          <w:szCs w:val="22"/>
        </w:rPr>
        <w:t xml:space="preserve">Modifications substantielles a des solutions existantes</w:t>
      </w:r>
    </w:p>
    <w:p>
      <w:r>
        <w:br w:type="page"/>
      </w:r>
    </w:p>
    <w:p>
      <w:pPr>
        <w:pStyle w:val="Heading1"/>
      </w:pPr>
      <w:r>
        <w:t xml:space="preserve">Phases du processus de due diligence</w:t>
      </w:r>
    </w:p>
    <w:p>
      <w:pPr>
        <w:pStyle w:val="Heading2"/>
      </w:pPr>
      <w:r>
        <w:t xml:space="preserve">Phase 1: Évaluation preliminaire (1-2 semaines)</w:t>
      </w:r>
    </w:p>
    <w:p>
      <w:r>
        <w:rPr>
          <w:rFonts w:ascii="Arial" w:cs="Arial" w:eastAsia="Arial" w:hAnsi="Arial"/>
          <w:color w:val="404040"/>
          <w:sz w:val="22"/>
          <w:szCs w:val="22"/>
        </w:rPr>
        <w:t xml:space="preserve">Screening rapide pour eliminer les solutions clairement inacceptables :</w:t>
      </w:r>
    </w:p>
    <w:p>
      <w:pPr>
        <w:pStyle w:val="Heading3"/>
      </w:pPr>
      <w:r>
        <w:t xml:space="preserve">Critères eliminatoires absolus</w:t>
      </w:r>
    </w:p>
    <w:p>
      <w:r>
        <w:rPr>
          <w:rFonts w:ascii="Arial" w:cs="Arial" w:eastAsia="Arial" w:hAnsi="Arial"/>
          <w:color w:val="404040"/>
          <w:sz w:val="22"/>
          <w:szCs w:val="22"/>
        </w:rPr>
        <w:t xml:space="preserve">La solution est rejetee immediatement si :</w:t>
      </w:r>
    </w:p>
    <w:p>
      <w:pPr>
        <w:pStyle w:val="ListParagraph"/>
        <w:numPr>
          <w:ilvl w:val="0"/>
          <w:numId w:val="2"/>
        </w:numPr>
      </w:pPr>
      <w:r>
        <w:rPr>
          <w:rFonts w:ascii="Arial" w:cs="Arial" w:eastAsia="Arial" w:hAnsi="Arial"/>
          <w:color w:val="404040"/>
          <w:sz w:val="22"/>
          <w:szCs w:val="22"/>
        </w:rPr>
        <w:t xml:space="preserve">Fournisseur situe dans un pays soumis a sanctions canadiennes/americaines</w:t>
      </w:r>
    </w:p>
    <w:p>
      <w:pPr>
        <w:pStyle w:val="ListParagraph"/>
        <w:numPr>
          <w:ilvl w:val="0"/>
          <w:numId w:val="2"/>
        </w:numPr>
      </w:pPr>
      <w:r>
        <w:rPr>
          <w:rFonts w:ascii="Arial" w:cs="Arial" w:eastAsia="Arial" w:hAnsi="Arial"/>
          <w:color w:val="404040"/>
          <w:sz w:val="22"/>
          <w:szCs w:val="22"/>
        </w:rPr>
        <w:t xml:space="preserve">Solution non conforme aux lois (ex: Loi 25, PIPEDA)</w:t>
      </w:r>
    </w:p>
    <w:p>
      <w:pPr>
        <w:pStyle w:val="ListParagraph"/>
        <w:numPr>
          <w:ilvl w:val="0"/>
          <w:numId w:val="2"/>
        </w:numPr>
      </w:pPr>
      <w:r>
        <w:rPr>
          <w:rFonts w:ascii="Arial" w:cs="Arial" w:eastAsia="Arial" w:hAnsi="Arial"/>
          <w:color w:val="404040"/>
          <w:sz w:val="22"/>
          <w:szCs w:val="22"/>
        </w:rPr>
        <w:t xml:space="preserve">Données non localisables au Canada/Quebec</w:t>
      </w:r>
    </w:p>
    <w:p>
      <w:pPr>
        <w:pStyle w:val="ListParagraph"/>
        <w:numPr>
          <w:ilvl w:val="0"/>
          <w:numId w:val="2"/>
        </w:numPr>
      </w:pPr>
      <w:r>
        <w:rPr>
          <w:rFonts w:ascii="Arial" w:cs="Arial" w:eastAsia="Arial" w:hAnsi="Arial"/>
          <w:color w:val="404040"/>
          <w:sz w:val="22"/>
          <w:szCs w:val="22"/>
        </w:rPr>
        <w:t xml:space="preserve">Fournisseur ayant historique majeur de breaches de sécurité</w:t>
      </w:r>
    </w:p>
    <w:p>
      <w:pPr>
        <w:pStyle w:val="ListParagraph"/>
        <w:numPr>
          <w:ilvl w:val="0"/>
          <w:numId w:val="2"/>
        </w:numPr>
      </w:pPr>
      <w:r>
        <w:rPr>
          <w:rFonts w:ascii="Arial" w:cs="Arial" w:eastAsia="Arial" w:hAnsi="Arial"/>
          <w:color w:val="404040"/>
          <w:sz w:val="22"/>
          <w:szCs w:val="22"/>
        </w:rPr>
        <w:t xml:space="preserve">Prix &gt; [BUDGET_LIMITE] ou nettement hors fourchette acceptabl</w:t>
      </w:r>
    </w:p>
    <w:p>
      <w:pPr>
        <w:pStyle w:val="ListParagraph"/>
        <w:numPr>
          <w:ilvl w:val="0"/>
          <w:numId w:val="2"/>
        </w:numPr>
      </w:pPr>
      <w:r>
        <w:rPr>
          <w:rFonts w:ascii="Arial" w:cs="Arial" w:eastAsia="Arial" w:hAnsi="Arial"/>
          <w:color w:val="404040"/>
          <w:sz w:val="22"/>
          <w:szCs w:val="22"/>
        </w:rPr>
        <w:t xml:space="preserve">Modele d'affaire non viable (fournisseur a haut risque de faillite)</w:t>
      </w:r>
    </w:p>
    <w:p>
      <w:pPr>
        <w:pStyle w:val="Heading3"/>
      </w:pPr>
      <w:r>
        <w:t xml:space="preserve">Questionnaire preliminaire</w:t>
      </w:r>
    </w:p>
    <w:p>
      <w:r>
        <w:rPr>
          <w:rFonts w:ascii="Arial" w:cs="Arial" w:eastAsia="Arial" w:hAnsi="Arial"/>
          <w:color w:val="404040"/>
          <w:sz w:val="22"/>
          <w:szCs w:val="22"/>
        </w:rPr>
        <w:t xml:space="preserve">Un questionnaire rapide est envoye au fournisseur couvrant :</w:t>
      </w:r>
    </w:p>
    <w:p>
      <w:pPr>
        <w:pStyle w:val="ListParagraph"/>
        <w:numPr>
          <w:ilvl w:val="0"/>
          <w:numId w:val="2"/>
        </w:numPr>
      </w:pPr>
      <w:r>
        <w:rPr>
          <w:rFonts w:ascii="Arial" w:cs="Arial" w:eastAsia="Arial" w:hAnsi="Arial"/>
          <w:color w:val="404040"/>
          <w:sz w:val="22"/>
          <w:szCs w:val="22"/>
        </w:rPr>
        <w:t xml:space="preserve">Description de la solution et références clients</w:t>
      </w:r>
    </w:p>
    <w:p>
      <w:pPr>
        <w:pStyle w:val="ListParagraph"/>
        <w:numPr>
          <w:ilvl w:val="0"/>
          <w:numId w:val="2"/>
        </w:numPr>
      </w:pPr>
      <w:r>
        <w:rPr>
          <w:rFonts w:ascii="Arial" w:cs="Arial" w:eastAsia="Arial" w:hAnsi="Arial"/>
          <w:color w:val="404040"/>
          <w:sz w:val="22"/>
          <w:szCs w:val="22"/>
        </w:rPr>
        <w:t xml:space="preserve">Infrastructure et localisation des données</w:t>
      </w:r>
    </w:p>
    <w:p>
      <w:pPr>
        <w:pStyle w:val="ListParagraph"/>
        <w:numPr>
          <w:ilvl w:val="0"/>
          <w:numId w:val="2"/>
        </w:numPr>
      </w:pPr>
      <w:r>
        <w:rPr>
          <w:rFonts w:ascii="Arial" w:cs="Arial" w:eastAsia="Arial" w:hAnsi="Arial"/>
          <w:color w:val="404040"/>
          <w:sz w:val="22"/>
          <w:szCs w:val="22"/>
        </w:rPr>
        <w:t xml:space="preserve">Certifications de sécurité et conformité</w:t>
      </w:r>
    </w:p>
    <w:p>
      <w:pPr>
        <w:pStyle w:val="ListParagraph"/>
        <w:numPr>
          <w:ilvl w:val="0"/>
          <w:numId w:val="2"/>
        </w:numPr>
      </w:pPr>
      <w:r>
        <w:rPr>
          <w:rFonts w:ascii="Arial" w:cs="Arial" w:eastAsia="Arial" w:hAnsi="Arial"/>
          <w:color w:val="404040"/>
          <w:sz w:val="22"/>
          <w:szCs w:val="22"/>
        </w:rPr>
        <w:t xml:space="preserve">Support et SLA offerts</w:t>
      </w:r>
    </w:p>
    <w:p>
      <w:pPr>
        <w:pStyle w:val="ListParagraph"/>
        <w:numPr>
          <w:ilvl w:val="0"/>
          <w:numId w:val="2"/>
        </w:numPr>
      </w:pPr>
      <w:r>
        <w:rPr>
          <w:rFonts w:ascii="Arial" w:cs="Arial" w:eastAsia="Arial" w:hAnsi="Arial"/>
          <w:color w:val="404040"/>
          <w:sz w:val="22"/>
          <w:szCs w:val="22"/>
        </w:rPr>
        <w:t xml:space="preserve">Conditions contractuelles de base et tarification</w:t>
      </w:r>
    </w:p>
    <w:p>
      <w:pPr>
        <w:pStyle w:val="Heading2"/>
      </w:pPr>
      <w:r>
        <w:t xml:space="preserve">Phase 2: Évaluation technique (2-3 semaines)</w:t>
      </w:r>
    </w:p>
    <w:p>
      <w:r>
        <w:rPr>
          <w:rFonts w:ascii="Arial" w:cs="Arial" w:eastAsia="Arial" w:hAnsi="Arial"/>
          <w:color w:val="404040"/>
          <w:sz w:val="22"/>
          <w:szCs w:val="22"/>
        </w:rPr>
        <w:t xml:space="preserve">Analyse detaillee des capacités techniques et de la performance :</w:t>
      </w:r>
    </w:p>
    <w:p>
      <w:pPr>
        <w:pStyle w:val="Heading3"/>
      </w:pPr>
      <w:r>
        <w:t xml:space="preserve">Sous-domaines d'évaluation</w:t>
      </w:r>
    </w:p>
    <w:p>
      <w:pPr>
        <w:pStyle w:val="ListParagraph"/>
        <w:numPr>
          <w:ilvl w:val="0"/>
          <w:numId w:val="2"/>
        </w:numPr>
      </w:pPr>
      <w:r>
        <w:rPr>
          <w:rFonts w:ascii="Arial" w:cs="Arial" w:eastAsia="Arial" w:hAnsi="Arial"/>
          <w:color w:val="404040"/>
          <w:sz w:val="22"/>
          <w:szCs w:val="22"/>
        </w:rPr>
        <w:t xml:space="preserve">Fonctionnalité: La solution répond-elle aux spécifications? Tests et demonstrations</w:t>
      </w:r>
    </w:p>
    <w:p>
      <w:pPr>
        <w:pStyle w:val="ListParagraph"/>
        <w:numPr>
          <w:ilvl w:val="0"/>
          <w:numId w:val="2"/>
        </w:numPr>
      </w:pPr>
      <w:r>
        <w:rPr>
          <w:rFonts w:ascii="Arial" w:cs="Arial" w:eastAsia="Arial" w:hAnsi="Arial"/>
          <w:color w:val="404040"/>
          <w:sz w:val="22"/>
          <w:szCs w:val="22"/>
        </w:rPr>
        <w:t xml:space="preserve">Performance: Précision, latence, scalabilité. Benchmarking vs alternatives</w:t>
      </w:r>
    </w:p>
    <w:p>
      <w:pPr>
        <w:pStyle w:val="ListParagraph"/>
        <w:numPr>
          <w:ilvl w:val="0"/>
          <w:numId w:val="2"/>
        </w:numPr>
      </w:pPr>
      <w:r>
        <w:rPr>
          <w:rFonts w:ascii="Arial" w:cs="Arial" w:eastAsia="Arial" w:hAnsi="Arial"/>
          <w:color w:val="404040"/>
          <w:sz w:val="22"/>
          <w:szCs w:val="22"/>
        </w:rPr>
        <w:t xml:space="preserve">Architecture: Infrastructure, sécurité, isolement des données</w:t>
      </w:r>
    </w:p>
    <w:p>
      <w:pPr>
        <w:pStyle w:val="ListParagraph"/>
        <w:numPr>
          <w:ilvl w:val="0"/>
          <w:numId w:val="2"/>
        </w:numPr>
      </w:pPr>
      <w:r>
        <w:rPr>
          <w:rFonts w:ascii="Arial" w:cs="Arial" w:eastAsia="Arial" w:hAnsi="Arial"/>
          <w:color w:val="404040"/>
          <w:sz w:val="22"/>
          <w:szCs w:val="22"/>
        </w:rPr>
        <w:t xml:space="preserve">Interopérabilité: APIs, formats de données, integrations possibles</w:t>
      </w:r>
    </w:p>
    <w:p>
      <w:pPr>
        <w:pStyle w:val="ListParagraph"/>
        <w:numPr>
          <w:ilvl w:val="0"/>
          <w:numId w:val="2"/>
        </w:numPr>
      </w:pPr>
      <w:r>
        <w:rPr>
          <w:rFonts w:ascii="Arial" w:cs="Arial" w:eastAsia="Arial" w:hAnsi="Arial"/>
          <w:color w:val="404040"/>
          <w:sz w:val="22"/>
          <w:szCs w:val="22"/>
        </w:rPr>
        <w:t xml:space="preserve">Support: Documentation, SLA, qualite du support technique</w:t>
      </w:r>
    </w:p>
    <w:p>
      <w:pPr>
        <w:pStyle w:val="Heading3"/>
      </w:pPr>
      <w:r>
        <w:t xml:space="preserve">Activites</w:t>
      </w:r>
    </w:p>
    <w:p>
      <w:pPr>
        <w:pStyle w:val="ListParagraph"/>
        <w:numPr>
          <w:ilvl w:val="0"/>
          <w:numId w:val="2"/>
        </w:numPr>
      </w:pPr>
      <w:r>
        <w:rPr>
          <w:rFonts w:ascii="Arial" w:cs="Arial" w:eastAsia="Arial" w:hAnsi="Arial"/>
          <w:color w:val="404040"/>
          <w:sz w:val="22"/>
          <w:szCs w:val="22"/>
        </w:rPr>
        <w:t xml:space="preserve">Review de la documentation technique</w:t>
      </w:r>
    </w:p>
    <w:p>
      <w:pPr>
        <w:pStyle w:val="ListParagraph"/>
        <w:numPr>
          <w:ilvl w:val="0"/>
          <w:numId w:val="2"/>
        </w:numPr>
      </w:pPr>
      <w:r>
        <w:rPr>
          <w:rFonts w:ascii="Arial" w:cs="Arial" w:eastAsia="Arial" w:hAnsi="Arial"/>
          <w:color w:val="404040"/>
          <w:sz w:val="22"/>
          <w:szCs w:val="22"/>
        </w:rPr>
        <w:t xml:space="preserve">Demonstration en direct par le fournisseur</w:t>
      </w:r>
    </w:p>
    <w:p>
      <w:pPr>
        <w:pStyle w:val="ListParagraph"/>
        <w:numPr>
          <w:ilvl w:val="0"/>
          <w:numId w:val="2"/>
        </w:numPr>
      </w:pPr>
      <w:r>
        <w:rPr>
          <w:rFonts w:ascii="Arial" w:cs="Arial" w:eastAsia="Arial" w:hAnsi="Arial"/>
          <w:color w:val="404040"/>
          <w:sz w:val="22"/>
          <w:szCs w:val="22"/>
        </w:rPr>
        <w:t xml:space="preserve">Test en environnement sandbox/pilot</w:t>
      </w:r>
    </w:p>
    <w:p>
      <w:pPr>
        <w:pStyle w:val="ListParagraph"/>
        <w:numPr>
          <w:ilvl w:val="0"/>
          <w:numId w:val="2"/>
        </w:numPr>
      </w:pPr>
      <w:r>
        <w:rPr>
          <w:rFonts w:ascii="Arial" w:cs="Arial" w:eastAsia="Arial" w:hAnsi="Arial"/>
          <w:color w:val="404040"/>
          <w:sz w:val="22"/>
          <w:szCs w:val="22"/>
        </w:rPr>
        <w:t xml:space="preserve">Validation avec utilisateurs finaux potentiels</w:t>
      </w:r>
    </w:p>
    <w:p>
      <w:pPr>
        <w:pStyle w:val="ListParagraph"/>
        <w:numPr>
          <w:ilvl w:val="0"/>
          <w:numId w:val="2"/>
        </w:numPr>
      </w:pPr>
      <w:r>
        <w:rPr>
          <w:rFonts w:ascii="Arial" w:cs="Arial" w:eastAsia="Arial" w:hAnsi="Arial"/>
          <w:color w:val="404040"/>
          <w:sz w:val="22"/>
          <w:szCs w:val="22"/>
        </w:rPr>
        <w:t xml:space="preserve">Benchmark vs solutions alternatives</w:t>
      </w:r>
    </w:p>
    <w:p>
      <w:pPr>
        <w:pStyle w:val="Heading2"/>
      </w:pPr>
      <w:r>
        <w:t xml:space="preserve">Phase 3: Évaluation éthique et responsabilité (1-2 semaines)</w:t>
      </w:r>
    </w:p>
    <w:p>
      <w:r>
        <w:rPr>
          <w:rFonts w:ascii="Arial" w:cs="Arial" w:eastAsia="Arial" w:hAnsi="Arial"/>
          <w:color w:val="404040"/>
          <w:sz w:val="22"/>
          <w:szCs w:val="22"/>
        </w:rPr>
        <w:t xml:space="preserve">Assessment des aspects éthiques et de responsabilité societe :</w:t>
      </w:r>
    </w:p>
    <w:p>
      <w:pPr>
        <w:pStyle w:val="Heading3"/>
      </w:pPr>
      <w:r>
        <w:t xml:space="preserve">Domaines evalues</w:t>
      </w:r>
    </w:p>
    <w:p>
      <w:pPr>
        <w:pStyle w:val="ListParagraph"/>
        <w:numPr>
          <w:ilvl w:val="0"/>
          <w:numId w:val="2"/>
        </w:numPr>
      </w:pPr>
      <w:r>
        <w:rPr>
          <w:rFonts w:ascii="Arial" w:cs="Arial" w:eastAsia="Arial" w:hAnsi="Arial"/>
          <w:color w:val="404040"/>
          <w:sz w:val="22"/>
          <w:szCs w:val="22"/>
        </w:rPr>
        <w:t xml:space="preserve">Biais et discrimination: Tests de biais, données d'entrainement, impact sur groupes sensibles</w:t>
      </w:r>
    </w:p>
    <w:p>
      <w:pPr>
        <w:pStyle w:val="ListParagraph"/>
        <w:numPr>
          <w:ilvl w:val="0"/>
          <w:numId w:val="2"/>
        </w:numPr>
      </w:pPr>
      <w:r>
        <w:rPr>
          <w:rFonts w:ascii="Arial" w:cs="Arial" w:eastAsia="Arial" w:hAnsi="Arial"/>
          <w:color w:val="404040"/>
          <w:sz w:val="22"/>
          <w:szCs w:val="22"/>
        </w:rPr>
        <w:t xml:space="preserve">Explcabilite: Mecanismes d'explication des decisions, transparence</w:t>
      </w:r>
    </w:p>
    <w:p>
      <w:pPr>
        <w:pStyle w:val="ListParagraph"/>
        <w:numPr>
          <w:ilvl w:val="0"/>
          <w:numId w:val="2"/>
        </w:numPr>
      </w:pPr>
      <w:r>
        <w:rPr>
          <w:rFonts w:ascii="Arial" w:cs="Arial" w:eastAsia="Arial" w:hAnsi="Arial"/>
          <w:color w:val="404040"/>
          <w:sz w:val="22"/>
          <w:szCs w:val="22"/>
        </w:rPr>
        <w:t xml:space="preserve">Responsabilité: Mecanismes de surveillance, escalade, recours</w:t>
      </w:r>
    </w:p>
    <w:p>
      <w:pPr>
        <w:pStyle w:val="ListParagraph"/>
        <w:numPr>
          <w:ilvl w:val="0"/>
          <w:numId w:val="2"/>
        </w:numPr>
      </w:pPr>
      <w:r>
        <w:rPr>
          <w:rFonts w:ascii="Arial" w:cs="Arial" w:eastAsia="Arial" w:hAnsi="Arial"/>
          <w:color w:val="404040"/>
          <w:sz w:val="22"/>
          <w:szCs w:val="22"/>
        </w:rPr>
        <w:t xml:space="preserve">Impact social: Potentiel impact negatif, mesures d'attenuation</w:t>
      </w:r>
    </w:p>
    <w:p>
      <w:pPr>
        <w:pStyle w:val="ListParagraph"/>
        <w:numPr>
          <w:ilvl w:val="0"/>
          <w:numId w:val="2"/>
        </w:numPr>
      </w:pPr>
      <w:r>
        <w:rPr>
          <w:rFonts w:ascii="Arial" w:cs="Arial" w:eastAsia="Arial" w:hAnsi="Arial"/>
          <w:color w:val="404040"/>
          <w:sz w:val="22"/>
          <w:szCs w:val="22"/>
        </w:rPr>
        <w:t xml:space="preserve">Transparence: Divulgation aux utilisateurs que c'est une IA</w:t>
      </w:r>
    </w:p>
    <w:p>
      <w:pPr>
        <w:pStyle w:val="Heading3"/>
      </w:pPr>
      <w:r>
        <w:t xml:space="preserve">Activites</w:t>
      </w:r>
    </w:p>
    <w:p>
      <w:pPr>
        <w:pStyle w:val="ListParagraph"/>
        <w:numPr>
          <w:ilvl w:val="0"/>
          <w:numId w:val="2"/>
        </w:numPr>
      </w:pPr>
      <w:r>
        <w:rPr>
          <w:rFonts w:ascii="Arial" w:cs="Arial" w:eastAsia="Arial" w:hAnsi="Arial"/>
          <w:color w:val="404040"/>
          <w:sz w:val="22"/>
          <w:szCs w:val="22"/>
        </w:rPr>
        <w:t xml:space="preserve">Review des documents d'éthique et responsabilité du fournisseur</w:t>
      </w:r>
    </w:p>
    <w:p>
      <w:pPr>
        <w:pStyle w:val="ListParagraph"/>
        <w:numPr>
          <w:ilvl w:val="0"/>
          <w:numId w:val="2"/>
        </w:numPr>
      </w:pPr>
      <w:r>
        <w:rPr>
          <w:rFonts w:ascii="Arial" w:cs="Arial" w:eastAsia="Arial" w:hAnsi="Arial"/>
          <w:color w:val="404040"/>
          <w:sz w:val="22"/>
          <w:szCs w:val="22"/>
        </w:rPr>
        <w:t xml:space="preserve">Tests de biais avec données representant [SECTEUR_ACTIVITE]</w:t>
      </w:r>
    </w:p>
    <w:p>
      <w:pPr>
        <w:pStyle w:val="ListParagraph"/>
        <w:numPr>
          <w:ilvl w:val="0"/>
          <w:numId w:val="2"/>
        </w:numPr>
      </w:pPr>
      <w:r>
        <w:rPr>
          <w:rFonts w:ascii="Arial" w:cs="Arial" w:eastAsia="Arial" w:hAnsi="Arial"/>
          <w:color w:val="404040"/>
          <w:sz w:val="22"/>
          <w:szCs w:val="22"/>
        </w:rPr>
        <w:t xml:space="preserve">Entrevues avec ethiciens/experts en responsabilité IA</w:t>
      </w:r>
    </w:p>
    <w:p>
      <w:pPr>
        <w:pStyle w:val="ListParagraph"/>
        <w:numPr>
          <w:ilvl w:val="0"/>
          <w:numId w:val="2"/>
        </w:numPr>
      </w:pPr>
      <w:r>
        <w:rPr>
          <w:rFonts w:ascii="Arial" w:cs="Arial" w:eastAsia="Arial" w:hAnsi="Arial"/>
          <w:color w:val="404040"/>
          <w:sz w:val="22"/>
          <w:szCs w:val="22"/>
        </w:rPr>
        <w:t xml:space="preserve">Évaluation d'impact social preliminaire</w:t>
      </w:r>
    </w:p>
    <w:p>
      <w:pPr>
        <w:pStyle w:val="ListParagraph"/>
        <w:numPr>
          <w:ilvl w:val="0"/>
          <w:numId w:val="2"/>
        </w:numPr>
      </w:pPr>
      <w:r>
        <w:rPr>
          <w:rFonts w:ascii="Arial" w:cs="Arial" w:eastAsia="Arial" w:hAnsi="Arial"/>
          <w:color w:val="404040"/>
          <w:sz w:val="22"/>
          <w:szCs w:val="22"/>
        </w:rPr>
        <w:t xml:space="preserve">Documentation des limitations et recommandations d'usage</w:t>
      </w:r>
    </w:p>
    <w:p>
      <w:pPr>
        <w:pStyle w:val="Heading2"/>
      </w:pPr>
      <w:r>
        <w:t xml:space="preserve">Phase 4: Évaluation juridique et conformité (1-2 semaines)</w:t>
      </w:r>
    </w:p>
    <w:p>
      <w:r>
        <w:rPr>
          <w:rFonts w:ascii="Arial" w:cs="Arial" w:eastAsia="Arial" w:hAnsi="Arial"/>
          <w:color w:val="404040"/>
          <w:sz w:val="22"/>
          <w:szCs w:val="22"/>
        </w:rPr>
        <w:t xml:space="preserve">Vérification de la conformité avec les obligations légales et réglementaires :</w:t>
      </w:r>
    </w:p>
    <w:p>
      <w:pPr>
        <w:pStyle w:val="Heading3"/>
      </w:pPr>
      <w:r>
        <w:t xml:space="preserve">Domaines couverts</w:t>
      </w:r>
    </w:p>
    <w:p>
      <w:pPr>
        <w:pStyle w:val="ListParagraph"/>
        <w:numPr>
          <w:ilvl w:val="0"/>
          <w:numId w:val="2"/>
        </w:numPr>
      </w:pPr>
      <w:r>
        <w:rPr>
          <w:rFonts w:ascii="Arial" w:cs="Arial" w:eastAsia="Arial" w:hAnsi="Arial"/>
          <w:color w:val="404040"/>
          <w:sz w:val="22"/>
          <w:szCs w:val="22"/>
        </w:rPr>
        <w:t xml:space="preserve">Protection des données (Loi 25, PIPEDA, RGPD)</w:t>
      </w:r>
    </w:p>
    <w:p>
      <w:pPr>
        <w:pStyle w:val="ListParagraph"/>
        <w:numPr>
          <w:ilvl w:val="0"/>
          <w:numId w:val="2"/>
        </w:numPr>
      </w:pPr>
      <w:r>
        <w:rPr>
          <w:rFonts w:ascii="Arial" w:cs="Arial" w:eastAsia="Arial" w:hAnsi="Arial"/>
          <w:color w:val="404040"/>
          <w:sz w:val="22"/>
          <w:szCs w:val="22"/>
        </w:rPr>
        <w:t xml:space="preserve">Propriete intellectuelle et licences</w:t>
      </w:r>
    </w:p>
    <w:p>
      <w:pPr>
        <w:pStyle w:val="ListParagraph"/>
        <w:numPr>
          <w:ilvl w:val="0"/>
          <w:numId w:val="2"/>
        </w:numPr>
      </w:pPr>
      <w:r>
        <w:rPr>
          <w:rFonts w:ascii="Arial" w:cs="Arial" w:eastAsia="Arial" w:hAnsi="Arial"/>
          <w:color w:val="404040"/>
          <w:sz w:val="22"/>
          <w:szCs w:val="22"/>
        </w:rPr>
        <w:t xml:space="preserve">Responsabilité civile et assurance</w:t>
      </w:r>
    </w:p>
    <w:p>
      <w:pPr>
        <w:pStyle w:val="ListParagraph"/>
        <w:numPr>
          <w:ilvl w:val="0"/>
          <w:numId w:val="2"/>
        </w:numPr>
      </w:pPr>
      <w:r>
        <w:rPr>
          <w:rFonts w:ascii="Arial" w:cs="Arial" w:eastAsia="Arial" w:hAnsi="Arial"/>
          <w:color w:val="404040"/>
          <w:sz w:val="22"/>
          <w:szCs w:val="22"/>
        </w:rPr>
        <w:t xml:space="preserve">Contrats et termes de service</w:t>
      </w:r>
    </w:p>
    <w:p>
      <w:pPr>
        <w:pStyle w:val="ListParagraph"/>
        <w:numPr>
          <w:ilvl w:val="0"/>
          <w:numId w:val="2"/>
        </w:numPr>
      </w:pPr>
      <w:r>
        <w:rPr>
          <w:rFonts w:ascii="Arial" w:cs="Arial" w:eastAsia="Arial" w:hAnsi="Arial"/>
          <w:color w:val="404040"/>
          <w:sz w:val="22"/>
          <w:szCs w:val="22"/>
        </w:rPr>
        <w:t xml:space="preserve">Exigences de transfert de données et localisation</w:t>
      </w:r>
    </w:p>
    <w:p>
      <w:pPr>
        <w:pStyle w:val="Heading3"/>
      </w:pPr>
      <w:r>
        <w:t xml:space="preserve">Activites</w:t>
      </w:r>
    </w:p>
    <w:p>
      <w:pPr>
        <w:pStyle w:val="ListParagraph"/>
        <w:numPr>
          <w:ilvl w:val="0"/>
          <w:numId w:val="2"/>
        </w:numPr>
      </w:pPr>
      <w:r>
        <w:rPr>
          <w:rFonts w:ascii="Arial" w:cs="Arial" w:eastAsia="Arial" w:hAnsi="Arial"/>
          <w:color w:val="404040"/>
          <w:sz w:val="22"/>
          <w:szCs w:val="22"/>
        </w:rPr>
        <w:t xml:space="preserve">Review des politiques de confidentialité et termes de service</w:t>
      </w:r>
    </w:p>
    <w:p>
      <w:pPr>
        <w:pStyle w:val="ListParagraph"/>
        <w:numPr>
          <w:ilvl w:val="0"/>
          <w:numId w:val="2"/>
        </w:numPr>
      </w:pPr>
      <w:r>
        <w:rPr>
          <w:rFonts w:ascii="Arial" w:cs="Arial" w:eastAsia="Arial" w:hAnsi="Arial"/>
          <w:color w:val="404040"/>
          <w:sz w:val="22"/>
          <w:szCs w:val="22"/>
        </w:rPr>
        <w:t xml:space="preserve">Vérification des certifications légales et conformité</w:t>
      </w:r>
    </w:p>
    <w:p>
      <w:pPr>
        <w:pStyle w:val="ListParagraph"/>
        <w:numPr>
          <w:ilvl w:val="0"/>
          <w:numId w:val="2"/>
        </w:numPr>
      </w:pPr>
      <w:r>
        <w:rPr>
          <w:rFonts w:ascii="Arial" w:cs="Arial" w:eastAsia="Arial" w:hAnsi="Arial"/>
          <w:color w:val="404040"/>
          <w:sz w:val="22"/>
          <w:szCs w:val="22"/>
        </w:rPr>
        <w:t xml:space="preserve">Negociation des clauses contractuelles critiques</w:t>
      </w:r>
    </w:p>
    <w:p>
      <w:pPr>
        <w:pStyle w:val="ListParagraph"/>
        <w:numPr>
          <w:ilvl w:val="0"/>
          <w:numId w:val="2"/>
        </w:numPr>
      </w:pPr>
      <w:r>
        <w:rPr>
          <w:rFonts w:ascii="Arial" w:cs="Arial" w:eastAsia="Arial" w:hAnsi="Arial"/>
          <w:color w:val="404040"/>
          <w:sz w:val="22"/>
          <w:szCs w:val="22"/>
        </w:rPr>
        <w:t xml:space="preserve">Légal opinion si nécessaire (PI, conformité RGPD, etc)</w:t>
      </w:r>
    </w:p>
    <w:p>
      <w:pPr>
        <w:pStyle w:val="ListParagraph"/>
        <w:numPr>
          <w:ilvl w:val="0"/>
          <w:numId w:val="2"/>
        </w:numPr>
      </w:pPr>
      <w:r>
        <w:rPr>
          <w:rFonts w:ascii="Arial" w:cs="Arial" w:eastAsia="Arial" w:hAnsi="Arial"/>
          <w:color w:val="404040"/>
          <w:sz w:val="22"/>
          <w:szCs w:val="22"/>
        </w:rPr>
        <w:t xml:space="preserve">Accord de traitement pour données personnelles</w:t>
      </w:r>
    </w:p>
    <w:p>
      <w:pPr>
        <w:pStyle w:val="Heading2"/>
      </w:pPr>
      <w:r>
        <w:t xml:space="preserve">Phase 5: Évaluation financiere et commerciale (1 semaine)</w:t>
      </w:r>
    </w:p>
    <w:p>
      <w:r>
        <w:rPr>
          <w:rFonts w:ascii="Arial" w:cs="Arial" w:eastAsia="Arial" w:hAnsi="Arial"/>
          <w:color w:val="404040"/>
          <w:sz w:val="22"/>
          <w:szCs w:val="22"/>
        </w:rPr>
        <w:t xml:space="preserve">Analyse du modele economique et de la viabilite financiere :</w:t>
      </w:r>
    </w:p>
    <w:p>
      <w:pPr>
        <w:pStyle w:val="Heading3"/>
      </w:pPr>
      <w:r>
        <w:t xml:space="preserve">Domaines evalues</w:t>
      </w:r>
    </w:p>
    <w:p>
      <w:pPr>
        <w:pStyle w:val="ListParagraph"/>
        <w:numPr>
          <w:ilvl w:val="0"/>
          <w:numId w:val="2"/>
        </w:numPr>
      </w:pPr>
      <w:r>
        <w:rPr>
          <w:rFonts w:ascii="Arial" w:cs="Arial" w:eastAsia="Arial" w:hAnsi="Arial"/>
          <w:color w:val="404040"/>
          <w:sz w:val="22"/>
          <w:szCs w:val="22"/>
        </w:rPr>
        <w:t xml:space="preserve">Pricing: Structure tarifaire, couts additionnels, comparaison vs marche</w:t>
      </w:r>
    </w:p>
    <w:p>
      <w:pPr>
        <w:pStyle w:val="ListParagraph"/>
        <w:numPr>
          <w:ilvl w:val="0"/>
          <w:numId w:val="2"/>
        </w:numPr>
      </w:pPr>
      <w:r>
        <w:rPr>
          <w:rFonts w:ascii="Arial" w:cs="Arial" w:eastAsia="Arial" w:hAnsi="Arial"/>
          <w:color w:val="404040"/>
          <w:sz w:val="22"/>
          <w:szCs w:val="22"/>
        </w:rPr>
        <w:t xml:space="preserve">TCO: Couts d'intégration, opérationnel, maintenance, exit</w:t>
      </w:r>
    </w:p>
    <w:p>
      <w:pPr>
        <w:pStyle w:val="ListParagraph"/>
        <w:numPr>
          <w:ilvl w:val="0"/>
          <w:numId w:val="2"/>
        </w:numPr>
      </w:pPr>
      <w:r>
        <w:rPr>
          <w:rFonts w:ascii="Arial" w:cs="Arial" w:eastAsia="Arial" w:hAnsi="Arial"/>
          <w:color w:val="404040"/>
          <w:sz w:val="22"/>
          <w:szCs w:val="22"/>
        </w:rPr>
        <w:t xml:space="preserve">Viabilite: Sante financiere du fournisseur, risque de faillite</w:t>
      </w:r>
    </w:p>
    <w:p>
      <w:pPr>
        <w:pStyle w:val="ListParagraph"/>
        <w:numPr>
          <w:ilvl w:val="0"/>
          <w:numId w:val="2"/>
        </w:numPr>
      </w:pPr>
      <w:r>
        <w:rPr>
          <w:rFonts w:ascii="Arial" w:cs="Arial" w:eastAsia="Arial" w:hAnsi="Arial"/>
          <w:color w:val="404040"/>
          <w:sz w:val="22"/>
          <w:szCs w:val="22"/>
        </w:rPr>
        <w:t xml:space="preserve">Contrats: Duree, engagement, clauses de resiliation</w:t>
      </w:r>
    </w:p>
    <w:p>
      <w:pPr>
        <w:pStyle w:val="ListParagraph"/>
        <w:numPr>
          <w:ilvl w:val="0"/>
          <w:numId w:val="2"/>
        </w:numPr>
      </w:pPr>
      <w:r>
        <w:rPr>
          <w:rFonts w:ascii="Arial" w:cs="Arial" w:eastAsia="Arial" w:hAnsi="Arial"/>
          <w:color w:val="404040"/>
          <w:sz w:val="22"/>
          <w:szCs w:val="22"/>
        </w:rPr>
        <w:t xml:space="preserve">ROI: Benefices mesurables pour l'organisation</w:t>
      </w:r>
    </w:p>
    <w:p>
      <w:pPr>
        <w:pStyle w:val="Heading3"/>
      </w:pPr>
      <w:r>
        <w:t xml:space="preserve">Activites</w:t>
      </w:r>
    </w:p>
    <w:p>
      <w:pPr>
        <w:pStyle w:val="ListParagraph"/>
        <w:numPr>
          <w:ilvl w:val="0"/>
          <w:numId w:val="2"/>
        </w:numPr>
      </w:pPr>
      <w:r>
        <w:rPr>
          <w:rFonts w:ascii="Arial" w:cs="Arial" w:eastAsia="Arial" w:hAnsi="Arial"/>
          <w:color w:val="404040"/>
          <w:sz w:val="22"/>
          <w:szCs w:val="22"/>
        </w:rPr>
        <w:t xml:space="preserve">Analyse du modele de pricing et TCO</w:t>
      </w:r>
    </w:p>
    <w:p>
      <w:pPr>
        <w:pStyle w:val="ListParagraph"/>
        <w:numPr>
          <w:ilvl w:val="0"/>
          <w:numId w:val="2"/>
        </w:numPr>
      </w:pPr>
      <w:r>
        <w:rPr>
          <w:rFonts w:ascii="Arial" w:cs="Arial" w:eastAsia="Arial" w:hAnsi="Arial"/>
          <w:color w:val="404040"/>
          <w:sz w:val="22"/>
          <w:szCs w:val="22"/>
        </w:rPr>
        <w:t xml:space="preserve">Recherche sur la sante financiere du fournisseur (Crunchbase, SEC filings, etc)</w:t>
      </w:r>
    </w:p>
    <w:p>
      <w:pPr>
        <w:pStyle w:val="ListParagraph"/>
        <w:numPr>
          <w:ilvl w:val="0"/>
          <w:numId w:val="2"/>
        </w:numPr>
      </w:pPr>
      <w:r>
        <w:rPr>
          <w:rFonts w:ascii="Arial" w:cs="Arial" w:eastAsia="Arial" w:hAnsi="Arial"/>
          <w:color w:val="404040"/>
          <w:sz w:val="22"/>
          <w:szCs w:val="22"/>
        </w:rPr>
        <w:t xml:space="preserve">Appel d'offres competitif si budget &gt; [SEUIL]</w:t>
      </w:r>
    </w:p>
    <w:p>
      <w:pPr>
        <w:pStyle w:val="ListParagraph"/>
        <w:numPr>
          <w:ilvl w:val="0"/>
          <w:numId w:val="2"/>
        </w:numPr>
      </w:pPr>
      <w:r>
        <w:rPr>
          <w:rFonts w:ascii="Arial" w:cs="Arial" w:eastAsia="Arial" w:hAnsi="Arial"/>
          <w:color w:val="404040"/>
          <w:sz w:val="22"/>
          <w:szCs w:val="22"/>
        </w:rPr>
        <w:t xml:space="preserve">Negociation des termes commerciaux</w:t>
      </w:r>
    </w:p>
    <w:p>
      <w:pPr>
        <w:pStyle w:val="ListParagraph"/>
        <w:numPr>
          <w:ilvl w:val="0"/>
          <w:numId w:val="2"/>
        </w:numPr>
      </w:pPr>
      <w:r>
        <w:rPr>
          <w:rFonts w:ascii="Arial" w:cs="Arial" w:eastAsia="Arial" w:hAnsi="Arial"/>
          <w:color w:val="404040"/>
          <w:sz w:val="22"/>
          <w:szCs w:val="22"/>
        </w:rPr>
        <w:t xml:space="preserve">Business case et approbation budgetaire</w:t>
      </w:r>
    </w:p>
    <w:p>
      <w:r>
        <w:br w:type="page"/>
      </w:r>
    </w:p>
    <w:p>
      <w:pPr>
        <w:pStyle w:val="Heading1"/>
      </w:pPr>
      <w:r>
        <w:t xml:space="preserve">Checklist de due diligence</w:t>
      </w:r>
    </w:p>
    <w:p>
      <w:pPr>
        <w:pStyle w:val="Heading2"/>
      </w:pPr>
      <w:r>
        <w:t xml:space="preserve">Checklist complète</w:t>
      </w:r>
    </w:p>
    <w:p>
      <w:r>
        <w:rPr>
          <w:rFonts w:ascii="Arial" w:cs="Arial" w:eastAsia="Arial" w:hAnsi="Arial"/>
          <w:color w:val="404040"/>
          <w:sz w:val="22"/>
          <w:szCs w:val="22"/>
        </w:rPr>
        <w:t xml:space="preserve">Avant l'approbation finale, tous les elements suivants doivent être coches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CHECKLIST DE DUE DILIGENCE</w:t>
            </w:r>
          </w:p>
          <w:p>
            <w:pPr>
              <w:spacing w:after="0"/>
            </w:pPr>
            <w:r>
              <w:rPr>
                <w:rFonts w:ascii="Arial" w:cs="Arial" w:eastAsia="Arial" w:hAnsi="Arial"/>
                <w:color w:val="404040"/>
                <w:sz w:val="20"/>
                <w:szCs w:val="20"/>
              </w:rPr>
              <w:t xml:space="preserve">EVALUATION PRELIMINAIRE
[ ] Fournisseur ne figure pas sur listes de sanctions
[ ] Solution conforme aux lois applicables
[ ] Données localisables au Canada/Quebec
[ ] Aucun historique majeur de breach de sécurité
[ ] Prix dans fourchette budgetaire acceptabl
[ ] Fournisseur financierement viable
EVALUATION TECHNIQUE
[ ] Fonctionnalités repondent aux spécifications
[ ] Performance acceptabl (précision, latence, scalabilité)
[ ] Architecture securisee et isolement des données
[ ] APIs et integrations disponibles
[ ] Support technique adequat et SLA clair
[ ] Test pilote reussi en environnement contrôle
[ ] Documentation technique complète
EVALUATION ETHIQUE
[ ] Tests de biais effectues et resultats acceptables
[ ] Absence de discrimination confirmée
[ ] Explcabilite adequate pour le cas d'usage
[ ] Limitations documentees et acceptees
[ ] Impact social evalue et acceptable
[ ] Transparence envers utilisateurs confirmée
EVALUATION JURIDIQUE
[ ] Conformite Loi 25 validee
[ ] Conformite PIPEDA validee (si données canadiennes)
[ ] Conformite RGPD validee (si données UE)
[ ] Accord de traitement signe (si données pers)
[ ] Clauses contractuelles critiques negotiees
[ ] Propriete intellectuelle clarifiee
[ ] Assurance responsabilité adequate
[ ] Légal opinion obtenue si nécessaire
EVALUATION FINANCIERE
[ ] TCO calcule et acceptabl
[ ] Viabilite financiere du fournisseur confirmée
[ ] Termes commerciaux negoties
[ ] Business case approuve et budget reserve
[ ] Comparaison vs alternatives effectuee
GOUVERNANCE
[ ] Proprietaire de solution identifie
[ ] Approbations requises obtenues
[ ] Rapport de due diligence finalise
[ ] Risques residuels identifies et documentes
[ ] Plan de mitigation etabli si nécessaire
[ ] Intégration roadmap définie</w:t>
            </w:r>
          </w:p>
        </w:tc>
      </w:tr>
    </w:tbl>
    <w:p>
      <w:pPr>
        <w:spacing w:before="200"/>
      </w:pPr>
    </w:p>
    <w:p>
      <w:pPr>
        <w:pStyle w:val="Heading2"/>
      </w:pPr>
      <w:r>
        <w:t xml:space="preserve">Document de rapport de due diligence</w:t>
      </w:r>
    </w:p>
    <w:p>
      <w:r>
        <w:rPr>
          <w:rFonts w:ascii="Arial" w:cs="Arial" w:eastAsia="Arial" w:hAnsi="Arial"/>
          <w:color w:val="404040"/>
          <w:sz w:val="22"/>
          <w:szCs w:val="22"/>
        </w:rPr>
        <w:t xml:space="preserve">Un rapport formal de due diligence est prepare et approuve avant intégration :</w:t>
      </w:r>
    </w:p>
    <w:p>
      <w:pPr>
        <w:pStyle w:val="Heading3"/>
      </w:pPr>
      <w:r>
        <w:t xml:space="preserve">Contenu du rapport</w:t>
      </w:r>
    </w:p>
    <w:p>
      <w:pPr>
        <w:pStyle w:val="ListParagraph"/>
        <w:numPr>
          <w:ilvl w:val="0"/>
          <w:numId w:val="2"/>
        </w:numPr>
      </w:pPr>
      <w:r>
        <w:rPr>
          <w:rFonts w:ascii="Arial" w:cs="Arial" w:eastAsia="Arial" w:hAnsi="Arial"/>
          <w:color w:val="404040"/>
          <w:sz w:val="22"/>
          <w:szCs w:val="22"/>
        </w:rPr>
        <w:t xml:space="preserve">Resume executif avec recommandation et score global</w:t>
      </w:r>
    </w:p>
    <w:p>
      <w:pPr>
        <w:pStyle w:val="ListParagraph"/>
        <w:numPr>
          <w:ilvl w:val="0"/>
          <w:numId w:val="2"/>
        </w:numPr>
      </w:pPr>
      <w:r>
        <w:rPr>
          <w:rFonts w:ascii="Arial" w:cs="Arial" w:eastAsia="Arial" w:hAnsi="Arial"/>
          <w:color w:val="404040"/>
          <w:sz w:val="22"/>
          <w:szCs w:val="22"/>
        </w:rPr>
        <w:t xml:space="preserve">Description de la solution et contexte de sélection</w:t>
      </w:r>
    </w:p>
    <w:p>
      <w:pPr>
        <w:pStyle w:val="ListParagraph"/>
        <w:numPr>
          <w:ilvl w:val="0"/>
          <w:numId w:val="2"/>
        </w:numPr>
      </w:pPr>
      <w:r>
        <w:rPr>
          <w:rFonts w:ascii="Arial" w:cs="Arial" w:eastAsia="Arial" w:hAnsi="Arial"/>
          <w:color w:val="404040"/>
          <w:sz w:val="22"/>
          <w:szCs w:val="22"/>
        </w:rPr>
        <w:t xml:space="preserve">Scores par domaine d'évaluation (technique, éthique, juridique, financier)</w:t>
      </w:r>
    </w:p>
    <w:p>
      <w:pPr>
        <w:pStyle w:val="ListParagraph"/>
        <w:numPr>
          <w:ilvl w:val="0"/>
          <w:numId w:val="2"/>
        </w:numPr>
      </w:pPr>
      <w:r>
        <w:rPr>
          <w:rFonts w:ascii="Arial" w:cs="Arial" w:eastAsia="Arial" w:hAnsi="Arial"/>
          <w:color w:val="404040"/>
          <w:sz w:val="22"/>
          <w:szCs w:val="22"/>
        </w:rPr>
        <w:t xml:space="preserve">Points forts et points faibles</w:t>
      </w:r>
    </w:p>
    <w:p>
      <w:pPr>
        <w:pStyle w:val="ListParagraph"/>
        <w:numPr>
          <w:ilvl w:val="0"/>
          <w:numId w:val="2"/>
        </w:numPr>
      </w:pPr>
      <w:r>
        <w:rPr>
          <w:rFonts w:ascii="Arial" w:cs="Arial" w:eastAsia="Arial" w:hAnsi="Arial"/>
          <w:color w:val="404040"/>
          <w:sz w:val="22"/>
          <w:szCs w:val="22"/>
        </w:rPr>
        <w:t xml:space="preserve">Risques identifies et mesures de mitigation</w:t>
      </w:r>
    </w:p>
    <w:p>
      <w:pPr>
        <w:pStyle w:val="ListParagraph"/>
        <w:numPr>
          <w:ilvl w:val="0"/>
          <w:numId w:val="2"/>
        </w:numPr>
      </w:pPr>
      <w:r>
        <w:rPr>
          <w:rFonts w:ascii="Arial" w:cs="Arial" w:eastAsia="Arial" w:hAnsi="Arial"/>
          <w:color w:val="404040"/>
          <w:sz w:val="22"/>
          <w:szCs w:val="22"/>
        </w:rPr>
        <w:t xml:space="preserve">Checklist de due diligence (complète ou incomplete)</w:t>
      </w:r>
    </w:p>
    <w:p>
      <w:pPr>
        <w:pStyle w:val="ListParagraph"/>
        <w:numPr>
          <w:ilvl w:val="0"/>
          <w:numId w:val="2"/>
        </w:numPr>
      </w:pPr>
      <w:r>
        <w:rPr>
          <w:rFonts w:ascii="Arial" w:cs="Arial" w:eastAsia="Arial" w:hAnsi="Arial"/>
          <w:color w:val="404040"/>
          <w:sz w:val="22"/>
          <w:szCs w:val="22"/>
        </w:rPr>
        <w:t xml:space="preserve">Documents supportants (test reports, légal review, etc)</w:t>
      </w:r>
    </w:p>
    <w:p>
      <w:pPr>
        <w:pStyle w:val="ListParagraph"/>
        <w:numPr>
          <w:ilvl w:val="0"/>
          <w:numId w:val="2"/>
        </w:numPr>
      </w:pPr>
      <w:r>
        <w:rPr>
          <w:rFonts w:ascii="Arial" w:cs="Arial" w:eastAsia="Arial" w:hAnsi="Arial"/>
          <w:color w:val="404040"/>
          <w:sz w:val="22"/>
          <w:szCs w:val="22"/>
        </w:rPr>
        <w:t xml:space="preserve">Approbations et signatures</w:t>
      </w:r>
    </w:p>
    <w:p>
      <w:pPr>
        <w:pStyle w:val="Heading3"/>
      </w:pPr>
      <w:r>
        <w:t xml:space="preserve">Niveaux d'approbation du rapport</w:t>
      </w:r>
    </w:p>
    <w:p>
      <w:r>
        <w:rPr>
          <w:rFonts w:ascii="Arial" w:cs="Arial" w:eastAsia="Arial" w:hAnsi="Arial"/>
          <w:color w:val="404040"/>
          <w:sz w:val="22"/>
          <w:szCs w:val="22"/>
        </w:rPr>
        <w:t xml:space="preserve">Le rapport de due diligence est approuve selon les niveaux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Score/Impact</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Approbateurs requis</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Delai de decision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&gt;= 80 / Pilot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Proprietaire solution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semaines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70-79 / Modere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VP/Directeur + Comite IA</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 semaines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&lt; 70 / Critique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 + Board si nécessaire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semaines</w:t>
            </w:r>
          </w:p>
        </w:tc>
      </w:tr>
    </w:tbl>
    <w:p>
      <w:r>
        <w:br w:type="page"/>
      </w:r>
    </w:p>
    <w:p>
      <w:pPr>
        <w:pStyle w:val="Heading1"/>
      </w:pPr>
      <w:r>
        <w:t xml:space="preserve">Critères eliminatoires et conditionnels</w:t>
      </w:r>
    </w:p>
    <w:p>
      <w:pPr>
        <w:pStyle w:val="Heading2"/>
      </w:pPr>
      <w:r>
        <w:t xml:space="preserve">Critères eliminatoires absolus</w:t>
      </w:r>
    </w:p>
    <w:p>
      <w:r>
        <w:rPr>
          <w:rFonts w:ascii="Arial" w:cs="Arial" w:eastAsia="Arial" w:hAnsi="Arial"/>
          <w:color w:val="404040"/>
          <w:sz w:val="22"/>
          <w:szCs w:val="22"/>
        </w:rPr>
        <w:t xml:space="preserve">Une solution est rejetee sans recours possible si elle ne respecte pas un ou plusieurs de ces critères :</w:t>
      </w:r>
    </w:p>
    <w:p>
      <w:pPr>
        <w:pStyle w:val="ListParagraph"/>
        <w:numPr>
          <w:ilvl w:val="0"/>
          <w:numId w:val="3"/>
        </w:numPr>
      </w:pPr>
      <w:r>
        <w:rPr>
          <w:rFonts w:ascii="Arial" w:cs="Arial" w:eastAsia="Arial" w:hAnsi="Arial"/>
          <w:color w:val="404040"/>
          <w:sz w:val="22"/>
          <w:szCs w:val="22"/>
        </w:rPr>
        <w:t xml:space="preserve">Non-conformité légale absolue: Solution ne peut pas être rendue conforme a Loi 25, PIPEDA ou RGPD</w:t>
      </w:r>
    </w:p>
    <w:p>
      <w:pPr>
        <w:pStyle w:val="ListParagraph"/>
        <w:numPr>
          <w:ilvl w:val="0"/>
          <w:numId w:val="3"/>
        </w:numPr>
      </w:pPr>
      <w:r>
        <w:rPr>
          <w:rFonts w:ascii="Arial" w:cs="Arial" w:eastAsia="Arial" w:hAnsi="Arial"/>
          <w:color w:val="404040"/>
          <w:sz w:val="22"/>
          <w:szCs w:val="22"/>
        </w:rPr>
        <w:t xml:space="preserve">Violation de souverainete: Données ne peuvent pas être localisees au Canada/Quebec</w:t>
      </w:r>
    </w:p>
    <w:p>
      <w:pPr>
        <w:pStyle w:val="ListParagraph"/>
        <w:numPr>
          <w:ilvl w:val="0"/>
          <w:numId w:val="3"/>
        </w:numPr>
      </w:pPr>
      <w:r>
        <w:rPr>
          <w:rFonts w:ascii="Arial" w:cs="Arial" w:eastAsia="Arial" w:hAnsi="Arial"/>
          <w:color w:val="404040"/>
          <w:sz w:val="22"/>
          <w:szCs w:val="22"/>
        </w:rPr>
        <w:t xml:space="preserve">Risque existentiel de sécurité: Vulnerabilites critiques non patchables</w:t>
      </w:r>
    </w:p>
    <w:p>
      <w:pPr>
        <w:pStyle w:val="ListParagraph"/>
        <w:numPr>
          <w:ilvl w:val="0"/>
          <w:numId w:val="3"/>
        </w:numPr>
      </w:pPr>
      <w:r>
        <w:rPr>
          <w:rFonts w:ascii="Arial" w:cs="Arial" w:eastAsia="Arial" w:hAnsi="Arial"/>
          <w:color w:val="404040"/>
          <w:sz w:val="22"/>
          <w:szCs w:val="22"/>
        </w:rPr>
        <w:t xml:space="preserve">Dependance de fournisseur defaillant: Risque critique que fournisseur ne puisse pas fournir service</w:t>
      </w:r>
    </w:p>
    <w:p>
      <w:pPr>
        <w:pStyle w:val="ListParagraph"/>
        <w:numPr>
          <w:ilvl w:val="0"/>
          <w:numId w:val="3"/>
        </w:numPr>
      </w:pPr>
      <w:r>
        <w:rPr>
          <w:rFonts w:ascii="Arial" w:cs="Arial" w:eastAsia="Arial" w:hAnsi="Arial"/>
          <w:color w:val="404040"/>
          <w:sz w:val="22"/>
          <w:szCs w:val="22"/>
        </w:rPr>
        <w:t xml:space="preserve">Couts prohibitifs: Couts &gt; [BUDGET_LIMITE] ou TCO inacceptabl</w:t>
      </w:r>
    </w:p>
    <w:p>
      <w:pPr>
        <w:pStyle w:val="Heading2"/>
      </w:pPr>
      <w:r>
        <w:t xml:space="preserve">Critères conditionnels ou avec attenuation</w:t>
      </w:r>
    </w:p>
    <w:p>
      <w:r>
        <w:rPr>
          <w:rFonts w:ascii="Arial" w:cs="Arial" w:eastAsia="Arial" w:hAnsi="Arial"/>
          <w:color w:val="404040"/>
          <w:sz w:val="22"/>
          <w:szCs w:val="22"/>
        </w:rPr>
        <w:t xml:space="preserve">Une solution peut être acceptee avec conditions si les risques peuvent être adequatement mitiges :</w:t>
      </w:r>
    </w:p>
    <w:p>
      <w:pPr>
        <w:pStyle w:val="ListParagraph"/>
        <w:numPr>
          <w:ilvl w:val="0"/>
          <w:numId w:val="2"/>
        </w:numPr>
      </w:pPr>
      <w:r>
        <w:rPr>
          <w:rFonts w:ascii="Arial" w:cs="Arial" w:eastAsia="Arial" w:hAnsi="Arial"/>
          <w:color w:val="404040"/>
          <w:sz w:val="22"/>
          <w:szCs w:val="22"/>
        </w:rPr>
        <w:t xml:space="preserve">Conformite légale: Conditions contractuelles spécifiques et audit annuel</w:t>
      </w:r>
    </w:p>
    <w:p>
      <w:pPr>
        <w:pStyle w:val="ListParagraph"/>
        <w:numPr>
          <w:ilvl w:val="0"/>
          <w:numId w:val="2"/>
        </w:numPr>
      </w:pPr>
      <w:r>
        <w:rPr>
          <w:rFonts w:ascii="Arial" w:cs="Arial" w:eastAsia="Arial" w:hAnsi="Arial"/>
          <w:color w:val="404040"/>
          <w:sz w:val="22"/>
          <w:szCs w:val="22"/>
        </w:rPr>
        <w:t xml:space="preserve">Biais ou discrimination: Plan de test et monitoring continu des biais</w:t>
      </w:r>
    </w:p>
    <w:p>
      <w:pPr>
        <w:pStyle w:val="ListParagraph"/>
        <w:numPr>
          <w:ilvl w:val="0"/>
          <w:numId w:val="2"/>
        </w:numPr>
      </w:pPr>
      <w:r>
        <w:rPr>
          <w:rFonts w:ascii="Arial" w:cs="Arial" w:eastAsia="Arial" w:hAnsi="Arial"/>
          <w:color w:val="404040"/>
          <w:sz w:val="22"/>
          <w:szCs w:val="22"/>
        </w:rPr>
        <w:t xml:space="preserve">Support insuffisant: Formation interne supplementaire et support in-house</w:t>
      </w:r>
    </w:p>
    <w:p>
      <w:pPr>
        <w:pStyle w:val="ListParagraph"/>
        <w:numPr>
          <w:ilvl w:val="0"/>
          <w:numId w:val="2"/>
        </w:numPr>
      </w:pPr>
      <w:r>
        <w:rPr>
          <w:rFonts w:ascii="Arial" w:cs="Arial" w:eastAsia="Arial" w:hAnsi="Arial"/>
          <w:color w:val="404040"/>
          <w:sz w:val="22"/>
          <w:szCs w:val="22"/>
        </w:rPr>
        <w:t xml:space="preserve">Viabilite fournisseur: Accord de réversibilité facile et plan de contingence</w:t>
      </w:r>
    </w:p>
    <w:p>
      <w:pPr>
        <w:pStyle w:val="ListParagraph"/>
        <w:numPr>
          <w:ilvl w:val="0"/>
          <w:numId w:val="2"/>
        </w:numPr>
      </w:pPr>
      <w:r>
        <w:rPr>
          <w:rFonts w:ascii="Arial" w:cs="Arial" w:eastAsia="Arial" w:hAnsi="Arial"/>
          <w:color w:val="404040"/>
          <w:sz w:val="22"/>
          <w:szCs w:val="22"/>
        </w:rPr>
        <w:t xml:space="preserve">Performance insuffisante: Periode pilote plus longue avec metriques de validation</w:t>
      </w:r>
    </w:p>
    <w:p>
      <w:r>
        <w:br w:type="page"/>
      </w:r>
    </w:p>
    <w:p>
      <w:pPr>
        <w:pStyle w:val="Heading1"/>
      </w:pPr>
      <w:r>
        <w:t xml:space="preserve">Processus et gouvernance</w:t>
      </w:r>
    </w:p>
    <w:p>
      <w:pPr>
        <w:pStyle w:val="Heading2"/>
      </w:pPr>
      <w:r>
        <w:t xml:space="preserve">Responsabilites et rôles</w:t>
      </w:r>
    </w:p>
    <w:p>
      <w:r>
        <w:rPr>
          <w:rFonts w:ascii="Arial" w:cs="Arial" w:eastAsia="Arial" w:hAnsi="Arial"/>
          <w:color w:val="404040"/>
          <w:sz w:val="22"/>
          <w:szCs w:val="22"/>
        </w:rPr>
        <w:t xml:space="preserve">Le processus de due diligence implique les rôles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Role</w:t>
            </w:r>
          </w:p>
        </w:tc>
        <w:tc>
          <w:tcPr>
            <w:tcW w:type="dxa" w:w="7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Proprietaire de solution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Definition des besoins, validation fonctionnelle, test pilote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Coordination globale, gouvernance, approval finale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 technique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technique, architecture, integrations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 éthique IA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Tests de biais, évaluation responsabilité, impact social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conformité</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juridique, contrats, conformité réglementaire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 de contrat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financiere, negociation terms</w:t>
            </w:r>
          </w:p>
        </w:tc>
      </w:tr>
    </w:tbl>
    <w:p>
      <w:pPr>
        <w:pStyle w:val="Heading2"/>
      </w:pPr>
      <w:r>
        <w:t xml:space="preserve">Calendrier et etapes</w:t>
      </w:r>
    </w:p>
    <w:p>
      <w:r>
        <w:rPr>
          <w:rFonts w:ascii="Arial" w:cs="Arial" w:eastAsia="Arial" w:hAnsi="Arial"/>
          <w:color w:val="404040"/>
          <w:sz w:val="22"/>
          <w:szCs w:val="22"/>
        </w:rPr>
        <w:t xml:space="preserve">Le processus complet prend typiquement 4-6 semaines :</w:t>
      </w:r>
    </w:p>
    <w:p>
      <w:pPr>
        <w:pStyle w:val="ListParagraph"/>
        <w:numPr>
          <w:ilvl w:val="0"/>
          <w:numId w:val="3"/>
        </w:numPr>
      </w:pPr>
      <w:r>
        <w:rPr>
          <w:rFonts w:ascii="Arial" w:cs="Arial" w:eastAsia="Arial" w:hAnsi="Arial"/>
          <w:color w:val="404040"/>
          <w:sz w:val="22"/>
          <w:szCs w:val="22"/>
        </w:rPr>
        <w:t xml:space="preserve">Semaine 1: Évaluation preliminaire et questionnaire fournisseur</w:t>
      </w:r>
    </w:p>
    <w:p>
      <w:pPr>
        <w:pStyle w:val="ListParagraph"/>
        <w:numPr>
          <w:ilvl w:val="0"/>
          <w:numId w:val="3"/>
        </w:numPr>
      </w:pPr>
      <w:r>
        <w:rPr>
          <w:rFonts w:ascii="Arial" w:cs="Arial" w:eastAsia="Arial" w:hAnsi="Arial"/>
          <w:color w:val="404040"/>
          <w:sz w:val="22"/>
          <w:szCs w:val="22"/>
        </w:rPr>
        <w:t xml:space="preserve">Semaines 2-3: Evaluations technique, éthique et juridique en parallele</w:t>
      </w:r>
    </w:p>
    <w:p>
      <w:pPr>
        <w:pStyle w:val="ListParagraph"/>
        <w:numPr>
          <w:ilvl w:val="0"/>
          <w:numId w:val="3"/>
        </w:numPr>
      </w:pPr>
      <w:r>
        <w:rPr>
          <w:rFonts w:ascii="Arial" w:cs="Arial" w:eastAsia="Arial" w:hAnsi="Arial"/>
          <w:color w:val="404040"/>
          <w:sz w:val="22"/>
          <w:szCs w:val="22"/>
        </w:rPr>
        <w:t xml:space="preserve">Semaine 3-4: Évaluation financiere et negociation contrats</w:t>
      </w:r>
    </w:p>
    <w:p>
      <w:pPr>
        <w:pStyle w:val="ListParagraph"/>
        <w:numPr>
          <w:ilvl w:val="0"/>
          <w:numId w:val="3"/>
        </w:numPr>
      </w:pPr>
      <w:r>
        <w:rPr>
          <w:rFonts w:ascii="Arial" w:cs="Arial" w:eastAsia="Arial" w:hAnsi="Arial"/>
          <w:color w:val="404040"/>
          <w:sz w:val="22"/>
          <w:szCs w:val="22"/>
        </w:rPr>
        <w:t xml:space="preserve">Semaine 4-5: Preparation du rapport de due diligence et approbations</w:t>
      </w:r>
    </w:p>
    <w:p>
      <w:pPr>
        <w:pStyle w:val="ListParagraph"/>
        <w:numPr>
          <w:ilvl w:val="0"/>
          <w:numId w:val="3"/>
        </w:numPr>
      </w:pPr>
      <w:r>
        <w:rPr>
          <w:rFonts w:ascii="Arial" w:cs="Arial" w:eastAsia="Arial" w:hAnsi="Arial"/>
          <w:color w:val="404040"/>
          <w:sz w:val="22"/>
          <w:szCs w:val="22"/>
        </w:rPr>
        <w:t xml:space="preserve">Semaine 5-6: Approbation finale et planning d'intégration</w:t>
      </w:r>
    </w:p>
    <w:p>
      <w:pPr>
        <w:pStyle w:val="Heading2"/>
      </w:pPr>
      <w:r>
        <w:t xml:space="preserve">Escalade et exceptions</w:t>
      </w:r>
    </w:p>
    <w:p>
      <w:r>
        <w:rPr>
          <w:rFonts w:ascii="Arial" w:cs="Arial" w:eastAsia="Arial" w:hAnsi="Arial"/>
          <w:color w:val="404040"/>
          <w:sz w:val="22"/>
          <w:szCs w:val="22"/>
        </w:rPr>
        <w:t xml:space="preserve">Pour les cas exceptionnels necessitant acceleration ou derogation :</w:t>
      </w:r>
    </w:p>
    <w:p>
      <w:pPr>
        <w:pStyle w:val="ListParagraph"/>
        <w:numPr>
          <w:ilvl w:val="0"/>
          <w:numId w:val="2"/>
        </w:numPr>
      </w:pPr>
      <w:r>
        <w:rPr>
          <w:rFonts w:ascii="Arial" w:cs="Arial" w:eastAsia="Arial" w:hAnsi="Arial"/>
          <w:color w:val="404040"/>
          <w:sz w:val="22"/>
          <w:szCs w:val="22"/>
        </w:rPr>
        <w:t xml:space="preserve">Cas urgent: Peut être accelere a 2 semaines avec approbation direction</w:t>
      </w:r>
    </w:p>
    <w:p>
      <w:pPr>
        <w:pStyle w:val="ListParagraph"/>
        <w:numPr>
          <w:ilvl w:val="0"/>
          <w:numId w:val="2"/>
        </w:numPr>
      </w:pPr>
      <w:r>
        <w:rPr>
          <w:rFonts w:ascii="Arial" w:cs="Arial" w:eastAsia="Arial" w:hAnsi="Arial"/>
          <w:color w:val="404040"/>
          <w:sz w:val="22"/>
          <w:szCs w:val="22"/>
        </w:rPr>
        <w:t xml:space="preserve">Derogation aux critères: Necessites approbation explicite du Board ou Comite de gouvernance</w:t>
      </w:r>
    </w:p>
    <w:p>
      <w:pPr>
        <w:pStyle w:val="ListParagraph"/>
        <w:numPr>
          <w:ilvl w:val="0"/>
          <w:numId w:val="2"/>
        </w:numPr>
      </w:pPr>
      <w:r>
        <w:rPr>
          <w:rFonts w:ascii="Arial" w:cs="Arial" w:eastAsia="Arial" w:hAnsi="Arial"/>
          <w:color w:val="404040"/>
          <w:sz w:val="22"/>
          <w:szCs w:val="22"/>
        </w:rPr>
        <w:t xml:space="preserve">Solutions en pilot: Peuvent avancer sans due diligence complète si delai court (&lt; 2 mois)</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Comite de due diligence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Revise et approuve les rapports de due diligence</w:t>
            </w:r>
          </w:p>
        </w:tc>
      </w:tr>
    </w:tbl>
    <w:p>
      <w:pPr>
        <w:spacing w:before="200"/>
      </w:pPr>
    </w:p>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Politique d'approvisionnement IA</w:t>
      </w:r>
    </w:p>
    <w:p>
      <w:pPr>
        <w:pStyle w:val="ListParagraph"/>
        <w:numPr>
          <w:ilvl w:val="0"/>
          <w:numId w:val="2"/>
        </w:numPr>
      </w:pPr>
      <w:r>
        <w:rPr>
          <w:rFonts w:ascii="Arial" w:cs="Arial" w:eastAsia="Arial" w:hAnsi="Arial"/>
          <w:color w:val="404040"/>
          <w:sz w:val="22"/>
          <w:szCs w:val="22"/>
        </w:rPr>
        <w:t xml:space="preserve">Clauses contractuelles types 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r>
        <w:br w:type="page"/>
      </w: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Due diligence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d'investigation approfondie et systematique avant une decision importante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SLA (Service Level Agreement)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Accord formalisant les niveaux de service garantis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TCO (Total Cost of Ownership)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Cout total de possession incluant acquisition, opérationnel et exit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privee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Business case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 justifiant l'investissement avec benefices et ROI attendus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de diligence raisonnable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2026-03-05T02:14:25.520Z</dcterms:created>
  <dcterms:modified xsi:type="dcterms:W3CDTF">2026-03-05T02:14:25.520Z</dcterms:modified>
</cp:coreProperties>
</file>

<file path=docProps/custom.xml><?xml version="1.0" encoding="utf-8"?>
<Properties xmlns="http://schemas.openxmlformats.org/officeDocument/2006/custom-properties" xmlns:vt="http://schemas.openxmlformats.org/officeDocument/2006/docPropsVTypes"/>
</file>