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d'impact de l'IA sur l'emploi</w:t>
      </w:r>
    </w:p>
    <w:p>
      <w:pPr>
        <w:spacing w:after="600"/>
        <w:jc w:val="center"/>
      </w:pPr>
      <w:r>
        <w:rPr>
          <w:rFonts w:ascii="Arial" w:cs="Arial" w:eastAsia="Arial" w:hAnsi="Arial"/>
          <w:color w:val="2E75B6"/>
          <w:sz w:val="24"/>
          <w:szCs w:val="24"/>
        </w:rPr>
        <w:t xml:space="preserve">Engagement envers la gestion responsable des impacts sur les taches et les emplois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Politique d'impact de l'IA sur l'emploi</w:t>
      </w:r>
    </w:p>
    <w:p>
      <w:r>
        <w:rPr>
          <w:rFonts w:ascii="Arial" w:cs="Arial" w:eastAsia="Arial" w:hAnsi="Arial"/>
          <w:color w:val="404040"/>
          <w:sz w:val="22"/>
          <w:szCs w:val="22"/>
        </w:rPr>
        <w:t xml:space="preserve">Cette politique exprime l'engagement de [NOM_ORGANISATION] a gerer de manière responsable les impacts de l'IA sur l'emploi, les compétences et la qualite de vie au travail de ses employés.</w:t>
      </w:r>
    </w:p>
    <w:p>
      <w:pPr>
        <w:pStyle w:val="Heading2"/>
      </w:pPr>
      <w:r>
        <w:t xml:space="preserve">1. Contexte et justification</w:t>
      </w:r>
    </w:p>
    <w:p>
      <w:pPr>
        <w:pStyle w:val="Heading3"/>
      </w:pPr>
      <w:r>
        <w:t xml:space="preserve">1.1 Reconnaissance des impacts</w:t>
      </w:r>
    </w:p>
    <w:p>
      <w:r>
        <w:rPr>
          <w:rFonts w:ascii="Arial" w:cs="Arial" w:eastAsia="Arial" w:hAnsi="Arial"/>
          <w:color w:val="404040"/>
          <w:sz w:val="22"/>
          <w:szCs w:val="22"/>
        </w:rPr>
        <w:t xml:space="preserve">L'implementation de systemes d'IA peut avoir des impacts significatifs sur :</w:t>
      </w:r>
    </w:p>
    <w:p>
      <w:pPr>
        <w:pStyle w:val="ListParagraph"/>
        <w:numPr>
          <w:ilvl w:val="0"/>
          <w:numId w:val="2"/>
        </w:numPr>
      </w:pPr>
      <w:r>
        <w:rPr>
          <w:rFonts w:ascii="Arial" w:cs="Arial" w:eastAsia="Arial" w:hAnsi="Arial"/>
          <w:color w:val="404040"/>
          <w:sz w:val="22"/>
          <w:szCs w:val="22"/>
        </w:rPr>
        <w:t xml:space="preserve">Les taches effectuees par les employés: certaines peuvent être automatisees</w:t>
      </w:r>
    </w:p>
    <w:p>
      <w:pPr>
        <w:pStyle w:val="ListParagraph"/>
        <w:numPr>
          <w:ilvl w:val="0"/>
          <w:numId w:val="2"/>
        </w:numPr>
      </w:pPr>
      <w:r>
        <w:rPr>
          <w:rFonts w:ascii="Arial" w:cs="Arial" w:eastAsia="Arial" w:hAnsi="Arial"/>
          <w:color w:val="404040"/>
          <w:sz w:val="22"/>
          <w:szCs w:val="22"/>
        </w:rPr>
        <w:t xml:space="preserve">Les compétences requises: nouvelles compétences peuvent être nécessaires</w:t>
      </w:r>
    </w:p>
    <w:p>
      <w:pPr>
        <w:pStyle w:val="ListParagraph"/>
        <w:numPr>
          <w:ilvl w:val="0"/>
          <w:numId w:val="2"/>
        </w:numPr>
      </w:pPr>
      <w:r>
        <w:rPr>
          <w:rFonts w:ascii="Arial" w:cs="Arial" w:eastAsia="Arial" w:hAnsi="Arial"/>
          <w:color w:val="404040"/>
          <w:sz w:val="22"/>
          <w:szCs w:val="22"/>
        </w:rPr>
        <w:t xml:space="preserve">La structure des emplois: evolution des rôles et des responsabilités</w:t>
      </w:r>
    </w:p>
    <w:p>
      <w:pPr>
        <w:pStyle w:val="ListParagraph"/>
        <w:numPr>
          <w:ilvl w:val="0"/>
          <w:numId w:val="2"/>
        </w:numPr>
      </w:pPr>
      <w:r>
        <w:rPr>
          <w:rFonts w:ascii="Arial" w:cs="Arial" w:eastAsia="Arial" w:hAnsi="Arial"/>
          <w:color w:val="404040"/>
          <w:sz w:val="22"/>
          <w:szCs w:val="22"/>
        </w:rPr>
        <w:t xml:space="preserve">L'environnement de travail: transformation des modes de collaboration</w:t>
      </w:r>
    </w:p>
    <w:p>
      <w:pPr>
        <w:pStyle w:val="ListParagraph"/>
        <w:numPr>
          <w:ilvl w:val="0"/>
          <w:numId w:val="2"/>
        </w:numPr>
      </w:pPr>
      <w:r>
        <w:rPr>
          <w:rFonts w:ascii="Arial" w:cs="Arial" w:eastAsia="Arial" w:hAnsi="Arial"/>
          <w:color w:val="404040"/>
          <w:sz w:val="22"/>
          <w:szCs w:val="22"/>
        </w:rPr>
        <w:t xml:space="preserve">La charge de travail et le bien-être: stress du changement, conditions de travail</w:t>
      </w:r>
    </w:p>
    <w:p>
      <w:pPr>
        <w:pStyle w:val="Heading3"/>
      </w:pPr>
      <w:r>
        <w:t xml:space="preserve">1.2 Valeurs de [NOM_ORGANISATION]</w:t>
      </w:r>
    </w:p>
    <w:p>
      <w:r>
        <w:rPr>
          <w:rFonts w:ascii="Arial" w:cs="Arial" w:eastAsia="Arial" w:hAnsi="Arial"/>
          <w:color w:val="404040"/>
          <w:sz w:val="22"/>
          <w:szCs w:val="22"/>
        </w:rPr>
        <w:t xml:space="preserve">[NOM_ORGANISATION] affirme son engagement envers :</w:t>
      </w:r>
    </w:p>
    <w:p>
      <w:pPr>
        <w:pStyle w:val="ListParagraph"/>
        <w:numPr>
          <w:ilvl w:val="0"/>
          <w:numId w:val="2"/>
        </w:numPr>
      </w:pPr>
      <w:r>
        <w:rPr>
          <w:rFonts w:ascii="Arial" w:cs="Arial" w:eastAsia="Arial" w:hAnsi="Arial"/>
          <w:color w:val="404040"/>
          <w:sz w:val="22"/>
          <w:szCs w:val="22"/>
        </w:rPr>
        <w:t xml:space="preserve">Le respect de la dignite et des droits de tous ses employés</w:t>
      </w:r>
    </w:p>
    <w:p>
      <w:pPr>
        <w:pStyle w:val="ListParagraph"/>
        <w:numPr>
          <w:ilvl w:val="0"/>
          <w:numId w:val="2"/>
        </w:numPr>
      </w:pPr>
      <w:r>
        <w:rPr>
          <w:rFonts w:ascii="Arial" w:cs="Arial" w:eastAsia="Arial" w:hAnsi="Arial"/>
          <w:color w:val="404040"/>
          <w:sz w:val="22"/>
          <w:szCs w:val="22"/>
        </w:rPr>
        <w:t xml:space="preserve">La transparence dans les decisions affectant l'emploi</w:t>
      </w:r>
    </w:p>
    <w:p>
      <w:pPr>
        <w:pStyle w:val="ListParagraph"/>
        <w:numPr>
          <w:ilvl w:val="0"/>
          <w:numId w:val="2"/>
        </w:numPr>
      </w:pPr>
      <w:r>
        <w:rPr>
          <w:rFonts w:ascii="Arial" w:cs="Arial" w:eastAsia="Arial" w:hAnsi="Arial"/>
          <w:color w:val="404040"/>
          <w:sz w:val="22"/>
          <w:szCs w:val="22"/>
        </w:rPr>
        <w:t xml:space="preserve">L'equite dans la distribution des benefices et des charges</w:t>
      </w:r>
    </w:p>
    <w:p>
      <w:pPr>
        <w:pStyle w:val="ListParagraph"/>
        <w:numPr>
          <w:ilvl w:val="0"/>
          <w:numId w:val="2"/>
        </w:numPr>
      </w:pPr>
      <w:r>
        <w:rPr>
          <w:rFonts w:ascii="Arial" w:cs="Arial" w:eastAsia="Arial" w:hAnsi="Arial"/>
          <w:color w:val="404040"/>
          <w:sz w:val="22"/>
          <w:szCs w:val="22"/>
        </w:rPr>
        <w:t xml:space="preserve">La sécurité de l'emploi et le soutien lors des transitions</w:t>
      </w:r>
    </w:p>
    <w:p>
      <w:pPr>
        <w:pStyle w:val="ListParagraph"/>
        <w:numPr>
          <w:ilvl w:val="0"/>
          <w:numId w:val="2"/>
        </w:numPr>
      </w:pPr>
      <w:r>
        <w:rPr>
          <w:rFonts w:ascii="Arial" w:cs="Arial" w:eastAsia="Arial" w:hAnsi="Arial"/>
          <w:color w:val="404040"/>
          <w:sz w:val="22"/>
          <w:szCs w:val="22"/>
        </w:rPr>
        <w:t xml:space="preserve">Le developpement continu des compétences et des opportunites de carriere</w:t>
      </w:r>
    </w:p>
    <w:p>
      <w:pPr>
        <w:spacing w:before="200"/>
      </w:pPr>
    </w:p>
    <w:p>
      <w:pPr>
        <w:pStyle w:val="Heading2"/>
      </w:pPr>
      <w:r>
        <w:t xml:space="preserve">2. Principes directeurs</w:t>
      </w:r>
    </w:p>
    <w:p>
      <w:pPr>
        <w:pStyle w:val="Heading3"/>
      </w:pPr>
      <w:r>
        <w:t xml:space="preserve">2.1 Principe de responsabilité</w:t>
      </w:r>
    </w:p>
    <w:p>
      <w:r>
        <w:rPr>
          <w:rFonts w:ascii="Arial" w:cs="Arial" w:eastAsia="Arial" w:hAnsi="Arial"/>
          <w:color w:val="404040"/>
          <w:sz w:val="22"/>
          <w:szCs w:val="22"/>
        </w:rPr>
        <w:t xml:space="preserve">L'organisation accepte sa responsabilité d'evaluer proactivement les impacts de l'IA et de prendre les mesures nécessaires pour minimiser les effets negatifs et maximiser les opportunites.</w:t>
      </w:r>
    </w:p>
    <w:p>
      <w:pPr>
        <w:pStyle w:val="Heading3"/>
      </w:pPr>
      <w:r>
        <w:t xml:space="preserve">2.2 Principe de transparence</w:t>
      </w:r>
    </w:p>
    <w:p>
      <w:r>
        <w:rPr>
          <w:rFonts w:ascii="Arial" w:cs="Arial" w:eastAsia="Arial" w:hAnsi="Arial"/>
          <w:color w:val="404040"/>
          <w:sz w:val="22"/>
          <w:szCs w:val="22"/>
        </w:rPr>
        <w:t xml:space="preserve">L'organisation communique ouvertement avec les employés et leurs representants sur :</w:t>
      </w:r>
    </w:p>
    <w:p>
      <w:pPr>
        <w:pStyle w:val="ListParagraph"/>
        <w:numPr>
          <w:ilvl w:val="0"/>
          <w:numId w:val="2"/>
        </w:numPr>
      </w:pPr>
      <w:r>
        <w:rPr>
          <w:rFonts w:ascii="Arial" w:cs="Arial" w:eastAsia="Arial" w:hAnsi="Arial"/>
          <w:color w:val="404040"/>
          <w:sz w:val="22"/>
          <w:szCs w:val="22"/>
        </w:rPr>
        <w:t xml:space="preserve">Les projets d'implementation d'IA planifies</w:t>
      </w:r>
    </w:p>
    <w:p>
      <w:pPr>
        <w:pStyle w:val="ListParagraph"/>
        <w:numPr>
          <w:ilvl w:val="0"/>
          <w:numId w:val="2"/>
        </w:numPr>
      </w:pPr>
      <w:r>
        <w:rPr>
          <w:rFonts w:ascii="Arial" w:cs="Arial" w:eastAsia="Arial" w:hAnsi="Arial"/>
          <w:color w:val="404040"/>
          <w:sz w:val="22"/>
          <w:szCs w:val="22"/>
        </w:rPr>
        <w:t xml:space="preserve">Les impacts potentiels sur l'emploi et les compétences</w:t>
      </w:r>
    </w:p>
    <w:p>
      <w:pPr>
        <w:pStyle w:val="ListParagraph"/>
        <w:numPr>
          <w:ilvl w:val="0"/>
          <w:numId w:val="2"/>
        </w:numPr>
      </w:pPr>
      <w:r>
        <w:rPr>
          <w:rFonts w:ascii="Arial" w:cs="Arial" w:eastAsia="Arial" w:hAnsi="Arial"/>
          <w:color w:val="404040"/>
          <w:sz w:val="22"/>
          <w:szCs w:val="22"/>
        </w:rPr>
        <w:t xml:space="preserve">Les mesures d'accompagnement et de soutien</w:t>
      </w:r>
    </w:p>
    <w:p>
      <w:pPr>
        <w:pStyle w:val="ListParagraph"/>
        <w:numPr>
          <w:ilvl w:val="0"/>
          <w:numId w:val="2"/>
        </w:numPr>
      </w:pPr>
      <w:r>
        <w:rPr>
          <w:rFonts w:ascii="Arial" w:cs="Arial" w:eastAsia="Arial" w:hAnsi="Arial"/>
          <w:color w:val="404040"/>
          <w:sz w:val="22"/>
          <w:szCs w:val="22"/>
        </w:rPr>
        <w:t xml:space="preserve">Le calendrier de mise en oeuvre</w:t>
      </w:r>
    </w:p>
    <w:p>
      <w:pPr>
        <w:pStyle w:val="ListParagraph"/>
        <w:numPr>
          <w:ilvl w:val="0"/>
          <w:numId w:val="2"/>
        </w:numPr>
      </w:pPr>
      <w:r>
        <w:rPr>
          <w:rFonts w:ascii="Arial" w:cs="Arial" w:eastAsia="Arial" w:hAnsi="Arial"/>
          <w:color w:val="404040"/>
          <w:sz w:val="22"/>
          <w:szCs w:val="22"/>
        </w:rPr>
        <w:t xml:space="preserve">Les processus de consultation</w:t>
      </w:r>
    </w:p>
    <w:p>
      <w:pPr>
        <w:pStyle w:val="Heading3"/>
      </w:pPr>
      <w:r>
        <w:t xml:space="preserve">2.3 Principe de consultation</w:t>
      </w:r>
    </w:p>
    <w:p>
      <w:r>
        <w:rPr>
          <w:rFonts w:ascii="Arial" w:cs="Arial" w:eastAsia="Arial" w:hAnsi="Arial"/>
          <w:color w:val="404040"/>
          <w:sz w:val="22"/>
          <w:szCs w:val="22"/>
        </w:rPr>
        <w:t xml:space="preserve">L'organisation consulte les employés et leurs representants syndicaux avant d'implementer une solution d'IA ayant un impact sur l'emploi. Cette consultation inclut :</w:t>
      </w:r>
    </w:p>
    <w:p>
      <w:pPr>
        <w:pStyle w:val="ListParagraph"/>
        <w:numPr>
          <w:ilvl w:val="0"/>
          <w:numId w:val="2"/>
        </w:numPr>
      </w:pPr>
      <w:r>
        <w:rPr>
          <w:rFonts w:ascii="Arial" w:cs="Arial" w:eastAsia="Arial" w:hAnsi="Arial"/>
          <w:color w:val="404040"/>
          <w:sz w:val="22"/>
          <w:szCs w:val="22"/>
        </w:rPr>
        <w:t xml:space="preserve">Notification prealable des projets planifies</w:t>
      </w:r>
    </w:p>
    <w:p>
      <w:pPr>
        <w:pStyle w:val="ListParagraph"/>
        <w:numPr>
          <w:ilvl w:val="0"/>
          <w:numId w:val="2"/>
        </w:numPr>
      </w:pPr>
      <w:r>
        <w:rPr>
          <w:rFonts w:ascii="Arial" w:cs="Arial" w:eastAsia="Arial" w:hAnsi="Arial"/>
          <w:color w:val="404040"/>
          <w:sz w:val="22"/>
          <w:szCs w:val="22"/>
        </w:rPr>
        <w:t xml:space="preserve">Opportunite de fournir un retour sur les impacts potentiels</w:t>
      </w:r>
    </w:p>
    <w:p>
      <w:pPr>
        <w:pStyle w:val="ListParagraph"/>
        <w:numPr>
          <w:ilvl w:val="0"/>
          <w:numId w:val="2"/>
        </w:numPr>
      </w:pPr>
      <w:r>
        <w:rPr>
          <w:rFonts w:ascii="Arial" w:cs="Arial" w:eastAsia="Arial" w:hAnsi="Arial"/>
          <w:color w:val="404040"/>
          <w:sz w:val="22"/>
          <w:szCs w:val="22"/>
        </w:rPr>
        <w:t xml:space="preserve">Discussion des mesures d'accompagnement</w:t>
      </w:r>
    </w:p>
    <w:p>
      <w:pPr>
        <w:pStyle w:val="ListParagraph"/>
        <w:numPr>
          <w:ilvl w:val="0"/>
          <w:numId w:val="2"/>
        </w:numPr>
      </w:pPr>
      <w:r>
        <w:rPr>
          <w:rFonts w:ascii="Arial" w:cs="Arial" w:eastAsia="Arial" w:hAnsi="Arial"/>
          <w:color w:val="404040"/>
          <w:sz w:val="22"/>
          <w:szCs w:val="22"/>
        </w:rPr>
        <w:t xml:space="preserve">Negociation des modalites de mise en oeuvre</w:t>
      </w:r>
    </w:p>
    <w:p>
      <w:pPr>
        <w:pStyle w:val="Heading3"/>
      </w:pPr>
      <w:r>
        <w:t xml:space="preserve">2.4 Principe d'equite</w:t>
      </w:r>
    </w:p>
    <w:p>
      <w:r>
        <w:rPr>
          <w:rFonts w:ascii="Arial" w:cs="Arial" w:eastAsia="Arial" w:hAnsi="Arial"/>
          <w:color w:val="404040"/>
          <w:sz w:val="22"/>
          <w:szCs w:val="22"/>
        </w:rPr>
        <w:t xml:space="preserve">L'organisation s'engage a gerer les impacts de manière équitable et a ne pas creuser les inegalites existantes. Cela inclut une attention particuliere aux employés en situation vulnerables ou discrimines.</w:t>
      </w:r>
    </w:p>
    <w:p>
      <w:pPr>
        <w:spacing w:before="200"/>
      </w:pPr>
    </w:p>
    <w:p>
      <w:pPr>
        <w:pStyle w:val="Heading2"/>
      </w:pPr>
      <w:r>
        <w:t xml:space="preserve">3. Évaluation des impacts</w:t>
      </w:r>
    </w:p>
    <w:p>
      <w:pPr>
        <w:pStyle w:val="Heading3"/>
      </w:pPr>
      <w:r>
        <w:t xml:space="preserve">3.1 Processus d'évaluation</w:t>
      </w:r>
    </w:p>
    <w:p>
      <w:r>
        <w:rPr>
          <w:rFonts w:ascii="Arial" w:cs="Arial" w:eastAsia="Arial" w:hAnsi="Arial"/>
          <w:color w:val="404040"/>
          <w:sz w:val="22"/>
          <w:szCs w:val="22"/>
        </w:rPr>
        <w:t xml:space="preserve">Avant d'implementer un systeme d'IA, l'organisation realise une évaluation approfondie des impacts incluant :</w:t>
      </w:r>
    </w:p>
    <w:p>
      <w:pPr>
        <w:pStyle w:val="ListParagraph"/>
        <w:numPr>
          <w:ilvl w:val="0"/>
          <w:numId w:val="2"/>
        </w:numPr>
      </w:pPr>
      <w:r>
        <w:rPr>
          <w:rFonts w:ascii="Arial" w:cs="Arial" w:eastAsia="Arial" w:hAnsi="Arial"/>
          <w:color w:val="404040"/>
          <w:sz w:val="22"/>
          <w:szCs w:val="22"/>
        </w:rPr>
        <w:t xml:space="preserve">Les taches affectees: Quelles taches seront automatisees ou modifiees?</w:t>
      </w:r>
    </w:p>
    <w:p>
      <w:pPr>
        <w:pStyle w:val="ListParagraph"/>
        <w:numPr>
          <w:ilvl w:val="0"/>
          <w:numId w:val="2"/>
        </w:numPr>
      </w:pPr>
      <w:r>
        <w:rPr>
          <w:rFonts w:ascii="Arial" w:cs="Arial" w:eastAsia="Arial" w:hAnsi="Arial"/>
          <w:color w:val="404040"/>
          <w:sz w:val="22"/>
          <w:szCs w:val="22"/>
        </w:rPr>
        <w:t xml:space="preserve">Les emplois affectes: Combien de postes seront impactes?</w:t>
      </w:r>
    </w:p>
    <w:p>
      <w:pPr>
        <w:pStyle w:val="ListParagraph"/>
        <w:numPr>
          <w:ilvl w:val="0"/>
          <w:numId w:val="2"/>
        </w:numPr>
      </w:pPr>
      <w:r>
        <w:rPr>
          <w:rFonts w:ascii="Arial" w:cs="Arial" w:eastAsia="Arial" w:hAnsi="Arial"/>
          <w:color w:val="404040"/>
          <w:sz w:val="22"/>
          <w:szCs w:val="22"/>
        </w:rPr>
        <w:t xml:space="preserve">Les compétences requises: Quelles compétences les employés devront-ils developper?</w:t>
      </w:r>
    </w:p>
    <w:p>
      <w:pPr>
        <w:pStyle w:val="ListParagraph"/>
        <w:numPr>
          <w:ilvl w:val="0"/>
          <w:numId w:val="2"/>
        </w:numPr>
      </w:pPr>
      <w:r>
        <w:rPr>
          <w:rFonts w:ascii="Arial" w:cs="Arial" w:eastAsia="Arial" w:hAnsi="Arial"/>
          <w:color w:val="404040"/>
          <w:sz w:val="22"/>
          <w:szCs w:val="22"/>
        </w:rPr>
        <w:t xml:space="preserve">Les impacts economiques: Couts, economies, redistribution?</w:t>
      </w:r>
    </w:p>
    <w:p>
      <w:pPr>
        <w:pStyle w:val="ListParagraph"/>
        <w:numPr>
          <w:ilvl w:val="0"/>
          <w:numId w:val="2"/>
        </w:numPr>
      </w:pPr>
      <w:r>
        <w:rPr>
          <w:rFonts w:ascii="Arial" w:cs="Arial" w:eastAsia="Arial" w:hAnsi="Arial"/>
          <w:color w:val="404040"/>
          <w:sz w:val="22"/>
          <w:szCs w:val="22"/>
        </w:rPr>
        <w:t xml:space="preserve">Les impacts sociaux: Bien-être, charge de travail, environnement psychosocial?</w:t>
      </w:r>
    </w:p>
    <w:p>
      <w:pPr>
        <w:pStyle w:val="ListParagraph"/>
        <w:numPr>
          <w:ilvl w:val="0"/>
          <w:numId w:val="2"/>
        </w:numPr>
      </w:pPr>
      <w:r>
        <w:rPr>
          <w:rFonts w:ascii="Arial" w:cs="Arial" w:eastAsia="Arial" w:hAnsi="Arial"/>
          <w:color w:val="404040"/>
          <w:sz w:val="22"/>
          <w:szCs w:val="22"/>
        </w:rPr>
        <w:t xml:space="preserve">Les effets distributionnels: Qui beneficie et qui supporte les couts?</w:t>
      </w:r>
    </w:p>
    <w:p>
      <w:pPr>
        <w:pStyle w:val="Heading3"/>
      </w:pPr>
      <w:r>
        <w:t xml:space="preserve">3.2 Évaluation des impacts sur la vie privee (EIVP)</w:t>
      </w:r>
    </w:p>
    <w:p>
      <w:r>
        <w:rPr>
          <w:rFonts w:ascii="Arial" w:cs="Arial" w:eastAsia="Arial" w:hAnsi="Arial"/>
          <w:color w:val="404040"/>
          <w:sz w:val="22"/>
          <w:szCs w:val="22"/>
        </w:rPr>
        <w:t xml:space="preserve">Si le systeme d'IA traite des données personnelles, une Évaluation des Impacts sur la Vie Privee (EIVP) est realisee conformement a la Loi 25 du Quebec.</w:t>
      </w:r>
    </w:p>
    <w:p>
      <w:pPr>
        <w:spacing w:before="200"/>
      </w:pPr>
    </w:p>
    <w:p>
      <w:pPr>
        <w:pStyle w:val="Heading2"/>
      </w:pPr>
      <w:r>
        <w:t xml:space="preserve">4. Mesures d'accompagnement</w:t>
      </w:r>
    </w:p>
    <w:p>
      <w:pPr>
        <w:pStyle w:val="Heading3"/>
      </w:pPr>
      <w:r>
        <w:t xml:space="preserve">4.1 Reclassement et transition d'emploi</w:t>
      </w:r>
    </w:p>
    <w:p>
      <w:r>
        <w:rPr>
          <w:rFonts w:ascii="Arial" w:cs="Arial" w:eastAsia="Arial" w:hAnsi="Arial"/>
          <w:color w:val="404040"/>
          <w:sz w:val="22"/>
          <w:szCs w:val="22"/>
        </w:rPr>
        <w:t xml:space="preserve">Lorsqu'une position devient automatisee, l'organisation s'engage a :</w:t>
      </w:r>
    </w:p>
    <w:p>
      <w:pPr>
        <w:pStyle w:val="ListParagraph"/>
        <w:numPr>
          <w:ilvl w:val="0"/>
          <w:numId w:val="2"/>
        </w:numPr>
      </w:pPr>
      <w:r>
        <w:rPr>
          <w:rFonts w:ascii="Arial" w:cs="Arial" w:eastAsia="Arial" w:hAnsi="Arial"/>
          <w:color w:val="404040"/>
          <w:sz w:val="22"/>
          <w:szCs w:val="22"/>
        </w:rPr>
        <w:t xml:space="preserve">Offrir prioritairement une reclassification vers une autre position au sein de l'organisation</w:t>
      </w:r>
    </w:p>
    <w:p>
      <w:pPr>
        <w:pStyle w:val="ListParagraph"/>
        <w:numPr>
          <w:ilvl w:val="0"/>
          <w:numId w:val="2"/>
        </w:numPr>
      </w:pPr>
      <w:r>
        <w:rPr>
          <w:rFonts w:ascii="Arial" w:cs="Arial" w:eastAsia="Arial" w:hAnsi="Arial"/>
          <w:color w:val="404040"/>
          <w:sz w:val="22"/>
          <w:szCs w:val="22"/>
        </w:rPr>
        <w:t xml:space="preserve">Assurer une période de transition avec soutien manageral et technique</w:t>
      </w:r>
    </w:p>
    <w:p>
      <w:pPr>
        <w:pStyle w:val="ListParagraph"/>
        <w:numPr>
          <w:ilvl w:val="0"/>
          <w:numId w:val="2"/>
        </w:numPr>
      </w:pPr>
      <w:r>
        <w:rPr>
          <w:rFonts w:ascii="Arial" w:cs="Arial" w:eastAsia="Arial" w:hAnsi="Arial"/>
          <w:color w:val="404040"/>
          <w:sz w:val="22"/>
          <w:szCs w:val="22"/>
        </w:rPr>
        <w:t xml:space="preserve">Couvrir les couts de formation nécessaires pour la reclassement</w:t>
      </w:r>
    </w:p>
    <w:p>
      <w:pPr>
        <w:pStyle w:val="ListParagraph"/>
        <w:numPr>
          <w:ilvl w:val="0"/>
          <w:numId w:val="2"/>
        </w:numPr>
      </w:pPr>
      <w:r>
        <w:rPr>
          <w:rFonts w:ascii="Arial" w:cs="Arial" w:eastAsia="Arial" w:hAnsi="Arial"/>
          <w:color w:val="404040"/>
          <w:sz w:val="22"/>
          <w:szCs w:val="22"/>
        </w:rPr>
        <w:t xml:space="preserve">Eviter les mises a pied, sauf en dernier recours et avec previs adequat</w:t>
      </w:r>
    </w:p>
    <w:p>
      <w:pPr>
        <w:pStyle w:val="ListParagraph"/>
        <w:numPr>
          <w:ilvl w:val="0"/>
          <w:numId w:val="2"/>
        </w:numPr>
      </w:pPr>
      <w:r>
        <w:rPr>
          <w:rFonts w:ascii="Arial" w:cs="Arial" w:eastAsia="Arial" w:hAnsi="Arial"/>
          <w:color w:val="404040"/>
          <w:sz w:val="22"/>
          <w:szCs w:val="22"/>
        </w:rPr>
        <w:t xml:space="preserve">Maintenir les conditions d'emploi et les avantages sociaux lors du reclassement</w:t>
      </w:r>
    </w:p>
    <w:p>
      <w:pPr>
        <w:pStyle w:val="Heading3"/>
      </w:pPr>
      <w:r>
        <w:t xml:space="preserve">4.2 Formation et developpement des compétences</w:t>
      </w:r>
    </w:p>
    <w:p>
      <w:r>
        <w:rPr>
          <w:rFonts w:ascii="Arial" w:cs="Arial" w:eastAsia="Arial" w:hAnsi="Arial"/>
          <w:color w:val="404040"/>
          <w:sz w:val="22"/>
          <w:szCs w:val="22"/>
        </w:rPr>
        <w:t xml:space="preserve">L'organisation offre :</w:t>
      </w:r>
    </w:p>
    <w:p>
      <w:pPr>
        <w:pStyle w:val="ListParagraph"/>
        <w:numPr>
          <w:ilvl w:val="0"/>
          <w:numId w:val="2"/>
        </w:numPr>
      </w:pPr>
      <w:r>
        <w:rPr>
          <w:rFonts w:ascii="Arial" w:cs="Arial" w:eastAsia="Arial" w:hAnsi="Arial"/>
          <w:color w:val="404040"/>
          <w:sz w:val="22"/>
          <w:szCs w:val="22"/>
        </w:rPr>
        <w:t xml:space="preserve">Formation payante pour developper les compétences requises pour les nouveaux rôles</w:t>
      </w:r>
    </w:p>
    <w:p>
      <w:pPr>
        <w:pStyle w:val="ListParagraph"/>
        <w:numPr>
          <w:ilvl w:val="0"/>
          <w:numId w:val="2"/>
        </w:numPr>
      </w:pPr>
      <w:r>
        <w:rPr>
          <w:rFonts w:ascii="Arial" w:cs="Arial" w:eastAsia="Arial" w:hAnsi="Arial"/>
          <w:color w:val="404040"/>
          <w:sz w:val="22"/>
          <w:szCs w:val="22"/>
        </w:rPr>
        <w:t xml:space="preserve">Temps de travail reserve pour la formation (minimum [HEURES_PAR_ANNEE] heures par annee)</w:t>
      </w:r>
    </w:p>
    <w:p>
      <w:pPr>
        <w:pStyle w:val="ListParagraph"/>
        <w:numPr>
          <w:ilvl w:val="0"/>
          <w:numId w:val="2"/>
        </w:numPr>
      </w:pPr>
      <w:r>
        <w:rPr>
          <w:rFonts w:ascii="Arial" w:cs="Arial" w:eastAsia="Arial" w:hAnsi="Arial"/>
          <w:color w:val="404040"/>
          <w:sz w:val="22"/>
          <w:szCs w:val="22"/>
        </w:rPr>
        <w:t xml:space="preserve">Mentorat et coaching pour soutenir la transition</w:t>
      </w:r>
    </w:p>
    <w:p>
      <w:pPr>
        <w:pStyle w:val="ListParagraph"/>
        <w:numPr>
          <w:ilvl w:val="0"/>
          <w:numId w:val="2"/>
        </w:numPr>
      </w:pPr>
      <w:r>
        <w:rPr>
          <w:rFonts w:ascii="Arial" w:cs="Arial" w:eastAsia="Arial" w:hAnsi="Arial"/>
          <w:color w:val="404040"/>
          <w:sz w:val="22"/>
          <w:szCs w:val="22"/>
        </w:rPr>
        <w:t xml:space="preserve">Accès a des ressources d'apprentissage diverse et flexibles</w:t>
      </w:r>
    </w:p>
    <w:p>
      <w:pPr>
        <w:pStyle w:val="ListParagraph"/>
        <w:numPr>
          <w:ilvl w:val="0"/>
          <w:numId w:val="2"/>
        </w:numPr>
      </w:pPr>
      <w:r>
        <w:rPr>
          <w:rFonts w:ascii="Arial" w:cs="Arial" w:eastAsia="Arial" w:hAnsi="Arial"/>
          <w:color w:val="404040"/>
          <w:sz w:val="22"/>
          <w:szCs w:val="22"/>
        </w:rPr>
        <w:t xml:space="preserve">Reconnaissance des compétences acquises</w:t>
      </w:r>
    </w:p>
    <w:p>
      <w:pPr>
        <w:pStyle w:val="Heading3"/>
      </w:pPr>
      <w:r>
        <w:t xml:space="preserve">4.3 Support psychosocial</w:t>
      </w:r>
    </w:p>
    <w:p>
      <w:r>
        <w:rPr>
          <w:rFonts w:ascii="Arial" w:cs="Arial" w:eastAsia="Arial" w:hAnsi="Arial"/>
          <w:color w:val="404040"/>
          <w:sz w:val="22"/>
          <w:szCs w:val="22"/>
        </w:rPr>
        <w:t xml:space="preserve">Reconnaissant que les transitions peuvent causer du stress et de l'incertitude, l'organisation fournit :</w:t>
      </w:r>
    </w:p>
    <w:p>
      <w:pPr>
        <w:pStyle w:val="ListParagraph"/>
        <w:numPr>
          <w:ilvl w:val="0"/>
          <w:numId w:val="2"/>
        </w:numPr>
      </w:pPr>
      <w:r>
        <w:rPr>
          <w:rFonts w:ascii="Arial" w:cs="Arial" w:eastAsia="Arial" w:hAnsi="Arial"/>
          <w:color w:val="404040"/>
          <w:sz w:val="22"/>
          <w:szCs w:val="22"/>
        </w:rPr>
        <w:t xml:space="preserve">Communication reguliere et transparente tout au long du processus</w:t>
      </w:r>
    </w:p>
    <w:p>
      <w:pPr>
        <w:pStyle w:val="ListParagraph"/>
        <w:numPr>
          <w:ilvl w:val="0"/>
          <w:numId w:val="2"/>
        </w:numPr>
      </w:pPr>
      <w:r>
        <w:rPr>
          <w:rFonts w:ascii="Arial" w:cs="Arial" w:eastAsia="Arial" w:hAnsi="Arial"/>
          <w:color w:val="404040"/>
          <w:sz w:val="22"/>
          <w:szCs w:val="22"/>
        </w:rPr>
        <w:t xml:space="preserve">Possibilite de discuter avec le gestionnaire et les ressources humaines</w:t>
      </w:r>
    </w:p>
    <w:p>
      <w:pPr>
        <w:pStyle w:val="ListParagraph"/>
        <w:numPr>
          <w:ilvl w:val="0"/>
          <w:numId w:val="2"/>
        </w:numPr>
      </w:pPr>
      <w:r>
        <w:rPr>
          <w:rFonts w:ascii="Arial" w:cs="Arial" w:eastAsia="Arial" w:hAnsi="Arial"/>
          <w:color w:val="404040"/>
          <w:sz w:val="22"/>
          <w:szCs w:val="22"/>
        </w:rPr>
        <w:t xml:space="preserve">Accès au programme d'aide aux employés (PAE) et aux services de soutien</w:t>
      </w:r>
    </w:p>
    <w:p>
      <w:pPr>
        <w:pStyle w:val="ListParagraph"/>
        <w:numPr>
          <w:ilvl w:val="0"/>
          <w:numId w:val="2"/>
        </w:numPr>
      </w:pPr>
      <w:r>
        <w:rPr>
          <w:rFonts w:ascii="Arial" w:cs="Arial" w:eastAsia="Arial" w:hAnsi="Arial"/>
          <w:color w:val="404040"/>
          <w:sz w:val="22"/>
          <w:szCs w:val="22"/>
        </w:rPr>
        <w:t xml:space="preserve">Groupes de discussion et communautes de soutien</w:t>
      </w:r>
    </w:p>
    <w:p>
      <w:pPr>
        <w:pStyle w:val="ListParagraph"/>
        <w:numPr>
          <w:ilvl w:val="0"/>
          <w:numId w:val="2"/>
        </w:numPr>
      </w:pPr>
      <w:r>
        <w:rPr>
          <w:rFonts w:ascii="Arial" w:cs="Arial" w:eastAsia="Arial" w:hAnsi="Arial"/>
          <w:color w:val="404040"/>
          <w:sz w:val="22"/>
          <w:szCs w:val="22"/>
        </w:rPr>
        <w:t xml:space="preserve">Gestion équitable des horaires pendant les periodes de transition</w:t>
      </w:r>
    </w:p>
    <w:p>
      <w:pPr>
        <w:pStyle w:val="Heading3"/>
      </w:pPr>
      <w:r>
        <w:t xml:space="preserve">4.4 Securite financiere</w:t>
      </w:r>
    </w:p>
    <w:p>
      <w:r>
        <w:rPr>
          <w:rFonts w:ascii="Arial" w:cs="Arial" w:eastAsia="Arial" w:hAnsi="Arial"/>
          <w:color w:val="404040"/>
          <w:sz w:val="22"/>
          <w:szCs w:val="22"/>
        </w:rPr>
        <w:t xml:space="preserve">Pour les employés dont l'emploi est affecte, l'organisation offre :</w:t>
      </w:r>
    </w:p>
    <w:p>
      <w:pPr>
        <w:pStyle w:val="ListParagraph"/>
        <w:numPr>
          <w:ilvl w:val="0"/>
          <w:numId w:val="2"/>
        </w:numPr>
      </w:pPr>
      <w:r>
        <w:rPr>
          <w:rFonts w:ascii="Arial" w:cs="Arial" w:eastAsia="Arial" w:hAnsi="Arial"/>
          <w:color w:val="404040"/>
          <w:sz w:val="22"/>
          <w:szCs w:val="22"/>
        </w:rPr>
        <w:t xml:space="preserve">Maintien du salaire pendant la période de transition</w:t>
      </w:r>
    </w:p>
    <w:p>
      <w:pPr>
        <w:pStyle w:val="ListParagraph"/>
        <w:numPr>
          <w:ilvl w:val="0"/>
          <w:numId w:val="2"/>
        </w:numPr>
      </w:pPr>
      <w:r>
        <w:rPr>
          <w:rFonts w:ascii="Arial" w:cs="Arial" w:eastAsia="Arial" w:hAnsi="Arial"/>
          <w:color w:val="404040"/>
          <w:sz w:val="22"/>
          <w:szCs w:val="22"/>
        </w:rPr>
        <w:t xml:space="preserve">Support financier pour les couts de formation</w:t>
      </w:r>
    </w:p>
    <w:p>
      <w:pPr>
        <w:pStyle w:val="ListParagraph"/>
        <w:numPr>
          <w:ilvl w:val="0"/>
          <w:numId w:val="2"/>
        </w:numPr>
      </w:pPr>
      <w:r>
        <w:rPr>
          <w:rFonts w:ascii="Arial" w:cs="Arial" w:eastAsia="Arial" w:hAnsi="Arial"/>
          <w:color w:val="404040"/>
          <w:sz w:val="22"/>
          <w:szCs w:val="22"/>
        </w:rPr>
        <w:t xml:space="preserve">Severance adequates si le reclassement n'est pas possible</w:t>
      </w:r>
    </w:p>
    <w:p>
      <w:pPr>
        <w:pStyle w:val="ListParagraph"/>
        <w:numPr>
          <w:ilvl w:val="0"/>
          <w:numId w:val="2"/>
        </w:numPr>
      </w:pPr>
      <w:r>
        <w:rPr>
          <w:rFonts w:ascii="Arial" w:cs="Arial" w:eastAsia="Arial" w:hAnsi="Arial"/>
          <w:color w:val="404040"/>
          <w:sz w:val="22"/>
          <w:szCs w:val="22"/>
        </w:rPr>
        <w:t xml:space="preserve">Accès a des ressources d'employabilite (CV, entrevues,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Normes du travail du Quebec</w:t>
            </w:r>
          </w:p>
          <w:p>
            <w:pPr>
              <w:spacing w:after="0"/>
            </w:pPr>
            <w:r>
              <w:rPr>
                <w:rFonts w:ascii="Arial" w:cs="Arial" w:eastAsia="Arial" w:hAnsi="Arial"/>
                <w:color w:val="404040"/>
                <w:sz w:val="20"/>
                <w:szCs w:val="20"/>
              </w:rPr>
              <w:t xml:space="preserve">Ces mesures d'accompagnement vont au-dela des exigences minimales des Normes du travail du Quebec. [NOM_ORGANISATION] reconnait qu'une approche plus generaute favorise la rétention des talents et le maintien de la confiance des employés.</w:t>
            </w:r>
          </w:p>
        </w:tc>
      </w:tr>
    </w:tbl>
    <w:p>
      <w:pPr>
        <w:spacing w:before="200"/>
      </w:pPr>
    </w:p>
    <w:p>
      <w:pPr>
        <w:pStyle w:val="Heading2"/>
      </w:pPr>
      <w:r>
        <w:t xml:space="preserve">5. Consultation syndicale</w:t>
      </w:r>
    </w:p>
    <w:p>
      <w:pPr>
        <w:pStyle w:val="Heading3"/>
      </w:pPr>
      <w:r>
        <w:t xml:space="preserve">5.1 Droit a la consultation</w:t>
      </w:r>
    </w:p>
    <w:p>
      <w:r>
        <w:rPr>
          <w:rFonts w:ascii="Arial" w:cs="Arial" w:eastAsia="Arial" w:hAnsi="Arial"/>
          <w:color w:val="404040"/>
          <w:sz w:val="22"/>
          <w:szCs w:val="22"/>
        </w:rPr>
        <w:t xml:space="preserve">Les organisations ayant des employés syndiques doivent consulter les syndicats sur les impacts de l'IA conformement a :</w:t>
      </w:r>
    </w:p>
    <w:p>
      <w:pPr>
        <w:pStyle w:val="ListParagraph"/>
        <w:numPr>
          <w:ilvl w:val="0"/>
          <w:numId w:val="2"/>
        </w:numPr>
      </w:pPr>
      <w:r>
        <w:rPr>
          <w:rFonts w:ascii="Arial" w:cs="Arial" w:eastAsia="Arial" w:hAnsi="Arial"/>
          <w:color w:val="404040"/>
          <w:sz w:val="22"/>
          <w:szCs w:val="22"/>
        </w:rPr>
        <w:t xml:space="preserve">Les conventions collectives applicables</w:t>
      </w:r>
    </w:p>
    <w:p>
      <w:pPr>
        <w:pStyle w:val="ListParagraph"/>
        <w:numPr>
          <w:ilvl w:val="0"/>
          <w:numId w:val="2"/>
        </w:numPr>
      </w:pPr>
      <w:r>
        <w:rPr>
          <w:rFonts w:ascii="Arial" w:cs="Arial" w:eastAsia="Arial" w:hAnsi="Arial"/>
          <w:color w:val="404040"/>
          <w:sz w:val="22"/>
          <w:szCs w:val="22"/>
        </w:rPr>
        <w:t xml:space="preserve">Les obligations de bonne foi en matières de relations de travail</w:t>
      </w:r>
    </w:p>
    <w:p>
      <w:pPr>
        <w:pStyle w:val="ListParagraph"/>
        <w:numPr>
          <w:ilvl w:val="0"/>
          <w:numId w:val="2"/>
        </w:numPr>
      </w:pPr>
      <w:r>
        <w:rPr>
          <w:rFonts w:ascii="Arial" w:cs="Arial" w:eastAsia="Arial" w:hAnsi="Arial"/>
          <w:color w:val="404040"/>
          <w:sz w:val="22"/>
          <w:szCs w:val="22"/>
        </w:rPr>
        <w:t xml:space="preserve">Les normes du travail du Quebec</w:t>
      </w:r>
    </w:p>
    <w:p>
      <w:pPr>
        <w:pStyle w:val="Heading3"/>
      </w:pPr>
      <w:r>
        <w:t xml:space="preserve">5.2 Processus de consultation</w:t>
      </w:r>
    </w:p>
    <w:p>
      <w:r>
        <w:rPr>
          <w:rFonts w:ascii="Arial" w:cs="Arial" w:eastAsia="Arial" w:hAnsi="Arial"/>
          <w:color w:val="404040"/>
          <w:sz w:val="22"/>
          <w:szCs w:val="22"/>
        </w:rPr>
        <w:t xml:space="preserve">Le processus de consultation inclut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Étape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Delai</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Acteurs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Notification du projet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30 jours avant le debut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 Syndicat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Présentation des impacts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 jours apres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 Comite syndical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Discussion des mesures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 jours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Negociation collective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Accord ou arbitrage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convention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Parties impliquees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Implementation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Apres accord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Coordonnee entre direction et syndicat</w:t>
            </w:r>
          </w:p>
        </w:tc>
      </w:tr>
    </w:tbl>
    <w:p>
      <w:pPr>
        <w:spacing w:before="200"/>
      </w:pPr>
    </w:p>
    <w:p>
      <w:pPr>
        <w:pStyle w:val="Heading2"/>
      </w:pPr>
      <w:r>
        <w:t xml:space="preserve">6. Monitoring et évaluation</w:t>
      </w:r>
    </w:p>
    <w:p>
      <w:pPr>
        <w:pStyle w:val="Heading3"/>
      </w:pPr>
      <w:r>
        <w:t xml:space="preserve">6.1 Indicateurs de succès</w:t>
      </w:r>
    </w:p>
    <w:p>
      <w:r>
        <w:rPr>
          <w:rFonts w:ascii="Arial" w:cs="Arial" w:eastAsia="Arial" w:hAnsi="Arial"/>
          <w:color w:val="404040"/>
          <w:sz w:val="22"/>
          <w:szCs w:val="22"/>
        </w:rPr>
        <w:t xml:space="preserve">L'organisation suit les indicateurs suivants :</w:t>
      </w:r>
    </w:p>
    <w:p>
      <w:pPr>
        <w:pStyle w:val="ListParagraph"/>
        <w:numPr>
          <w:ilvl w:val="0"/>
          <w:numId w:val="2"/>
        </w:numPr>
      </w:pPr>
      <w:r>
        <w:rPr>
          <w:rFonts w:ascii="Arial" w:cs="Arial" w:eastAsia="Arial" w:hAnsi="Arial"/>
          <w:color w:val="404040"/>
          <w:sz w:val="22"/>
          <w:szCs w:val="22"/>
        </w:rPr>
        <w:t xml:space="preserve">Nombre de postes transitions ou reclasses (target: [POURCENTAGE]%)</w:t>
      </w:r>
    </w:p>
    <w:p>
      <w:pPr>
        <w:pStyle w:val="ListParagraph"/>
        <w:numPr>
          <w:ilvl w:val="0"/>
          <w:numId w:val="2"/>
        </w:numPr>
      </w:pPr>
      <w:r>
        <w:rPr>
          <w:rFonts w:ascii="Arial" w:cs="Arial" w:eastAsia="Arial" w:hAnsi="Arial"/>
          <w:color w:val="404040"/>
          <w:sz w:val="22"/>
          <w:szCs w:val="22"/>
        </w:rPr>
        <w:t xml:space="preserve">Nombre d'employés qui ont complète la formation de transition</w:t>
      </w:r>
    </w:p>
    <w:p>
      <w:pPr>
        <w:pStyle w:val="ListParagraph"/>
        <w:numPr>
          <w:ilvl w:val="0"/>
          <w:numId w:val="2"/>
        </w:numPr>
      </w:pPr>
      <w:r>
        <w:rPr>
          <w:rFonts w:ascii="Arial" w:cs="Arial" w:eastAsia="Arial" w:hAnsi="Arial"/>
          <w:color w:val="404040"/>
          <w:sz w:val="22"/>
          <w:szCs w:val="22"/>
        </w:rPr>
        <w:t xml:space="preserve">Taux de satisfaction des employés envers le processus</w:t>
      </w:r>
    </w:p>
    <w:p>
      <w:pPr>
        <w:pStyle w:val="ListParagraph"/>
        <w:numPr>
          <w:ilvl w:val="0"/>
          <w:numId w:val="2"/>
        </w:numPr>
      </w:pPr>
      <w:r>
        <w:rPr>
          <w:rFonts w:ascii="Arial" w:cs="Arial" w:eastAsia="Arial" w:hAnsi="Arial"/>
          <w:color w:val="404040"/>
          <w:sz w:val="22"/>
          <w:szCs w:val="22"/>
        </w:rPr>
        <w:t xml:space="preserve">Taux de rétention des employés apres la transition</w:t>
      </w:r>
    </w:p>
    <w:p>
      <w:pPr>
        <w:pStyle w:val="ListParagraph"/>
        <w:numPr>
          <w:ilvl w:val="0"/>
          <w:numId w:val="2"/>
        </w:numPr>
      </w:pPr>
      <w:r>
        <w:rPr>
          <w:rFonts w:ascii="Arial" w:cs="Arial" w:eastAsia="Arial" w:hAnsi="Arial"/>
          <w:color w:val="404040"/>
          <w:sz w:val="22"/>
          <w:szCs w:val="22"/>
        </w:rPr>
        <w:t xml:space="preserve">Evolution de la qualite de vie au travail (sondage annuel)</w:t>
      </w:r>
    </w:p>
    <w:p>
      <w:pPr>
        <w:pStyle w:val="Heading3"/>
      </w:pPr>
      <w:r>
        <w:t xml:space="preserve">6.2 Révision de la politique</w:t>
      </w:r>
    </w:p>
    <w:p>
      <w:r>
        <w:rPr>
          <w:rFonts w:ascii="Arial" w:cs="Arial" w:eastAsia="Arial" w:hAnsi="Arial"/>
          <w:color w:val="404040"/>
          <w:sz w:val="22"/>
          <w:szCs w:val="22"/>
        </w:rPr>
        <w:t xml:space="preserve">Cette politique est revisee annuellement et peut être revisee plus frequemment selon :</w:t>
      </w:r>
    </w:p>
    <w:p>
      <w:pPr>
        <w:pStyle w:val="ListParagraph"/>
        <w:numPr>
          <w:ilvl w:val="0"/>
          <w:numId w:val="2"/>
        </w:numPr>
      </w:pPr>
      <w:r>
        <w:rPr>
          <w:rFonts w:ascii="Arial" w:cs="Arial" w:eastAsia="Arial" w:hAnsi="Arial"/>
          <w:color w:val="404040"/>
          <w:sz w:val="22"/>
          <w:szCs w:val="22"/>
        </w:rPr>
        <w:t xml:space="preserve">Les resultats du monitoring</w:t>
      </w:r>
    </w:p>
    <w:p>
      <w:pPr>
        <w:pStyle w:val="ListParagraph"/>
        <w:numPr>
          <w:ilvl w:val="0"/>
          <w:numId w:val="2"/>
        </w:numPr>
      </w:pPr>
      <w:r>
        <w:rPr>
          <w:rFonts w:ascii="Arial" w:cs="Arial" w:eastAsia="Arial" w:hAnsi="Arial"/>
          <w:color w:val="404040"/>
          <w:sz w:val="22"/>
          <w:szCs w:val="22"/>
        </w:rPr>
        <w:t xml:space="preserve">Les commentaires des employés et des representants syndicaux</w:t>
      </w:r>
    </w:p>
    <w:p>
      <w:pPr>
        <w:pStyle w:val="ListParagraph"/>
        <w:numPr>
          <w:ilvl w:val="0"/>
          <w:numId w:val="2"/>
        </w:numPr>
      </w:pPr>
      <w:r>
        <w:rPr>
          <w:rFonts w:ascii="Arial" w:cs="Arial" w:eastAsia="Arial" w:hAnsi="Arial"/>
          <w:color w:val="404040"/>
          <w:sz w:val="22"/>
          <w:szCs w:val="22"/>
        </w:rPr>
        <w:t xml:space="preserve">Les evolutions legislatives ou réglementaires</w:t>
      </w:r>
    </w:p>
    <w:p>
      <w:pPr>
        <w:pStyle w:val="ListParagraph"/>
        <w:numPr>
          <w:ilvl w:val="0"/>
          <w:numId w:val="2"/>
        </w:numPr>
      </w:pPr>
      <w:r>
        <w:rPr>
          <w:rFonts w:ascii="Arial" w:cs="Arial" w:eastAsia="Arial" w:hAnsi="Arial"/>
          <w:color w:val="404040"/>
          <w:sz w:val="22"/>
          <w:szCs w:val="22"/>
        </w:rPr>
        <w:t xml:space="preserve">Les apprentissages tires des implementations anterieures</w:t>
      </w:r>
    </w:p>
    <w:p>
      <w:pPr>
        <w:spacing w:before="200"/>
      </w:pPr>
    </w:p>
    <w:p>
      <w:pPr>
        <w:pStyle w:val="Heading2"/>
      </w:pPr>
      <w:r>
        <w:t xml:space="preserve">7. Responsabilites et gouvernance</w:t>
      </w:r>
    </w:p>
    <w:p>
      <w:r>
        <w:rPr>
          <w:rFonts w:ascii="Arial" w:cs="Arial" w:eastAsia="Arial" w:hAnsi="Arial"/>
          <w:color w:val="404040"/>
          <w:sz w:val="22"/>
          <w:szCs w:val="22"/>
        </w:rPr>
        <w:t xml:space="preserve">Les responsabilités sont définies comme suit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Acteur</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Approuver la politique et les mesures d'accompagnement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Implementer les mesures de soutien et de transition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les impacts et proposer des mesures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avec leur équipe et fournir du soutien local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Syndicats (le cas echeant)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Representer les interets des membres dans la consultation</w:t>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Normes du travail du Quebec - Section IV: Normes minimales de travail</w:t>
      </w:r>
    </w:p>
    <w:p>
      <w:pPr>
        <w:pStyle w:val="ListParagraph"/>
        <w:numPr>
          <w:ilvl w:val="0"/>
          <w:numId w:val="2"/>
        </w:numPr>
      </w:pPr>
      <w:r>
        <w:rPr>
          <w:rFonts w:ascii="Arial" w:cs="Arial" w:eastAsia="Arial" w:hAnsi="Arial"/>
          <w:color w:val="404040"/>
          <w:sz w:val="22"/>
          <w:szCs w:val="22"/>
        </w:rPr>
        <w:t xml:space="preserve">Loi sur les syndicats professionnels du Quebec (le cas echeant)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ressources humaines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Pilote la mise en oeuvre des mesures d'accompagnement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Soutiennent les employés pendant les transitions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Realise les evaluations d'impacts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Syndicats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Representent et protegent les interets des employés</w:t>
            </w:r>
          </w:p>
        </w:tc>
      </w:tr>
    </w:tbl>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Reclassement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Transition d'un employé vers une autre position dans l'organisation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Transition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Période d'adaptation lors d'un changement d'emploi ou de taches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Effet positif ou negatif d'une decision ou action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d'impact de l'IA sur l'emploi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2026-03-05T02:14:27.400Z</dcterms:created>
  <dcterms:modified xsi:type="dcterms:W3CDTF">2026-03-05T02:14:27.400Z</dcterms:modified>
</cp:coreProperties>
</file>

<file path=docProps/custom.xml><?xml version="1.0" encoding="utf-8"?>
<Properties xmlns="http://schemas.openxmlformats.org/officeDocument/2006/custom-properties" xmlns:vt="http://schemas.openxmlformats.org/officeDocument/2006/docPropsVTypes"/>
</file>