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Fiche Technique - Model Card</w:t>
      </w:r>
    </w:p>
    <w:p>
      <w:pPr>
        <w:spacing w:after="600"/>
        <w:jc w:val="center"/>
      </w:pPr>
      <w:r>
        <w:rPr>
          <w:rFonts w:ascii="Arial" w:cs="Arial" w:eastAsia="Arial" w:hAnsi="Arial"/>
          <w:color w:val="2E75B6"/>
          <w:sz w:val="24"/>
          <w:szCs w:val="24"/>
        </w:rPr>
        <w:t xml:space="preserve">Documentation standardisée de chaque modèle d'intelligence artificielle</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Introduction et contexte</w:t>
      </w:r>
    </w:p>
    <w:p>
      <w:r>
        <w:rPr>
          <w:rFonts w:ascii="Arial" w:cs="Arial" w:eastAsia="Arial" w:hAnsi="Arial"/>
          <w:color w:val="404040"/>
          <w:sz w:val="22"/>
          <w:szCs w:val="22"/>
        </w:rPr>
        <w:t xml:space="preserve">La fiche technique (Model Card) fournit une documentation standardisée et transparente de chaque modèle d'intelligence artificielle utilise. Elle est inspiree du format Google Model Cards et adaptee au contexte québecois et aux normes de gouvernance en vigueur.</w:t>
      </w:r>
    </w:p>
    <w:p>
      <w:pPr>
        <w:pStyle w:val="Heading2"/>
      </w:pPr>
      <w:r>
        <w:t xml:space="preserve">Objectif et utilite</w:t>
      </w:r>
    </w:p>
    <w:p>
      <w:r>
        <w:rPr>
          <w:rFonts w:ascii="Arial" w:cs="Arial" w:eastAsia="Arial" w:hAnsi="Arial"/>
          <w:color w:val="404040"/>
          <w:sz w:val="22"/>
          <w:szCs w:val="22"/>
        </w:rPr>
        <w:t xml:space="preserve">Une Model Card doit permettre a toute partie prenante (gestionnaire, développér, utilisateur, auditeur) de comprendre :</w:t>
      </w:r>
    </w:p>
    <w:p>
      <w:pPr>
        <w:pStyle w:val="ListParagraph"/>
        <w:numPr>
          <w:ilvl w:val="0"/>
          <w:numId w:val="2"/>
        </w:numPr>
      </w:pPr>
      <w:r>
        <w:rPr>
          <w:rFonts w:ascii="Arial" w:cs="Arial" w:eastAsia="Arial" w:hAnsi="Arial"/>
          <w:color w:val="404040"/>
          <w:sz w:val="22"/>
          <w:szCs w:val="22"/>
        </w:rPr>
        <w:t xml:space="preserve">Le but et le contexte d'utilisation du modèle</w:t>
      </w:r>
    </w:p>
    <w:p>
      <w:pPr>
        <w:pStyle w:val="ListParagraph"/>
        <w:numPr>
          <w:ilvl w:val="0"/>
          <w:numId w:val="2"/>
        </w:numPr>
      </w:pPr>
      <w:r>
        <w:rPr>
          <w:rFonts w:ascii="Arial" w:cs="Arial" w:eastAsia="Arial" w:hAnsi="Arial"/>
          <w:color w:val="404040"/>
          <w:sz w:val="22"/>
          <w:szCs w:val="22"/>
        </w:rPr>
        <w:t xml:space="preserve">Les données d'entrainement et leur source</w:t>
      </w:r>
    </w:p>
    <w:p>
      <w:pPr>
        <w:pStyle w:val="ListParagraph"/>
        <w:numPr>
          <w:ilvl w:val="0"/>
          <w:numId w:val="2"/>
        </w:numPr>
      </w:pPr>
      <w:r>
        <w:rPr>
          <w:rFonts w:ascii="Arial" w:cs="Arial" w:eastAsia="Arial" w:hAnsi="Arial"/>
          <w:color w:val="404040"/>
          <w:sz w:val="22"/>
          <w:szCs w:val="22"/>
        </w:rPr>
        <w:t xml:space="preserve">L'architecture et les approches techniques</w:t>
      </w:r>
    </w:p>
    <w:p>
      <w:pPr>
        <w:pStyle w:val="ListParagraph"/>
        <w:numPr>
          <w:ilvl w:val="0"/>
          <w:numId w:val="2"/>
        </w:numPr>
      </w:pPr>
      <w:r>
        <w:rPr>
          <w:rFonts w:ascii="Arial" w:cs="Arial" w:eastAsia="Arial" w:hAnsi="Arial"/>
          <w:color w:val="404040"/>
          <w:sz w:val="22"/>
          <w:szCs w:val="22"/>
        </w:rPr>
        <w:t xml:space="preserve">Les performances mesurees et leurs limites</w:t>
      </w:r>
    </w:p>
    <w:p>
      <w:pPr>
        <w:pStyle w:val="ListParagraph"/>
        <w:numPr>
          <w:ilvl w:val="0"/>
          <w:numId w:val="2"/>
        </w:numPr>
      </w:pPr>
      <w:r>
        <w:rPr>
          <w:rFonts w:ascii="Arial" w:cs="Arial" w:eastAsia="Arial" w:hAnsi="Arial"/>
          <w:color w:val="404040"/>
          <w:sz w:val="22"/>
          <w:szCs w:val="22"/>
        </w:rPr>
        <w:t xml:space="preserve">Les biais identifiés et les considerations d'equite</w:t>
      </w:r>
    </w:p>
    <w:p>
      <w:pPr>
        <w:pStyle w:val="ListParagraph"/>
        <w:numPr>
          <w:ilvl w:val="0"/>
          <w:numId w:val="2"/>
        </w:numPr>
      </w:pPr>
      <w:r>
        <w:rPr>
          <w:rFonts w:ascii="Arial" w:cs="Arial" w:eastAsia="Arial" w:hAnsi="Arial"/>
          <w:color w:val="404040"/>
          <w:sz w:val="22"/>
          <w:szCs w:val="22"/>
        </w:rPr>
        <w:t xml:space="preserve">Les recommandations d'utilisation responsable</w:t>
      </w:r>
    </w:p>
    <w:p>
      <w:pPr>
        <w:spacing w:before="200"/>
      </w:pP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pStyle w:val="ListParagraph"/>
        <w:numPr>
          <w:ilvl w:val="0"/>
          <w:numId w:val="2"/>
        </w:numPr>
      </w:pPr>
      <w:r>
        <w:rPr>
          <w:rFonts w:ascii="Arial" w:cs="Arial" w:eastAsia="Arial" w:hAnsi="Arial"/>
          <w:color w:val="404040"/>
          <w:sz w:val="22"/>
          <w:szCs w:val="22"/>
        </w:rPr>
        <w:t xml:space="preserve">Recommandations de Google sur les Model Cards</w:t>
      </w:r>
    </w:p>
    <w:p>
      <w:pPr>
        <w:pStyle w:val="ListParagraph"/>
        <w:numPr>
          <w:ilvl w:val="0"/>
          <w:numId w:val="2"/>
        </w:numPr>
      </w:pPr>
      <w:r>
        <w:rPr>
          <w:rFonts w:ascii="Arial" w:cs="Arial" w:eastAsia="Arial" w:hAnsi="Arial"/>
          <w:color w:val="404040"/>
          <w:sz w:val="22"/>
          <w:szCs w:val="22"/>
        </w:rPr>
        <w:t xml:space="preserve">ISO/IEC 42001:2023 - Documentation des modèles IA</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spacing w:before="200"/>
      </w:pPr>
    </w:p>
    <w:p>
      <w:pPr>
        <w:pStyle w:val="Heading1"/>
      </w:pPr>
      <w:r>
        <w:t xml:space="preserve">Template de Model Card</w:t>
      </w:r>
    </w:p>
    <w:p>
      <w:pPr>
        <w:pStyle w:val="Heading2"/>
      </w:pPr>
      <w:r>
        <w:t xml:space="preserve">Partie 1 : Identification et contexte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Element</w:t>
            </w:r>
          </w:p>
        </w:tc>
        <w:tc>
          <w:tcPr>
            <w:tcW w:type="dxa" w:w="6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Contenu attendu</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 du modèle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[NOM_MODELE] - Version [VERSION]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ID unique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[ID_MODELE_UNIQUE]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Propriétaire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[PROPRIETAIRE]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technique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[RESPONSABLE_TECHNIQUE]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 de creation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[DATE_CREATION]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Derniere mise a jour</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[DATE_DERNIERE_MAJ]</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Statut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Opérationnel / Pilote / Deprecie</w:t>
            </w:r>
          </w:p>
        </w:tc>
      </w:tr>
    </w:tbl>
    <w:p>
      <w:pPr>
        <w:spacing w:before="200"/>
      </w:pPr>
    </w:p>
    <w:p>
      <w:pPr>
        <w:pStyle w:val="Heading2"/>
      </w:pPr>
      <w:r>
        <w:t xml:space="preserve">Partie 2 : Objectif et utilisation prevue</w:t>
      </w:r>
    </w:p>
    <w:p>
      <w:r>
        <w:rPr>
          <w:rFonts w:ascii="Arial" w:cs="Arial" w:eastAsia="Arial" w:hAnsi="Arial"/>
          <w:color w:val="404040"/>
          <w:sz w:val="22"/>
          <w:szCs w:val="22"/>
        </w:rPr>
        <w:t xml:space="preserve">Description claire et concise du but du modèle :</w:t>
      </w:r>
    </w:p>
    <w:p>
      <w:pPr>
        <w:pStyle w:val="ListParagraph"/>
        <w:numPr>
          <w:ilvl w:val="0"/>
          <w:numId w:val="2"/>
        </w:numPr>
      </w:pPr>
      <w:r>
        <w:rPr>
          <w:rFonts w:ascii="Arial" w:cs="Arial" w:eastAsia="Arial" w:hAnsi="Arial"/>
          <w:color w:val="404040"/>
          <w:sz w:val="22"/>
          <w:szCs w:val="22"/>
        </w:rPr>
        <w:t xml:space="preserve">Probleme que le modèle resout</w:t>
      </w:r>
    </w:p>
    <w:p>
      <w:pPr>
        <w:pStyle w:val="ListParagraph"/>
        <w:numPr>
          <w:ilvl w:val="0"/>
          <w:numId w:val="2"/>
        </w:numPr>
      </w:pPr>
      <w:r>
        <w:rPr>
          <w:rFonts w:ascii="Arial" w:cs="Arial" w:eastAsia="Arial" w:hAnsi="Arial"/>
          <w:color w:val="404040"/>
          <w:sz w:val="22"/>
          <w:szCs w:val="22"/>
        </w:rPr>
        <w:t xml:space="preserve">Contexte d'utilisation prevu</w:t>
      </w:r>
    </w:p>
    <w:p>
      <w:pPr>
        <w:pStyle w:val="ListParagraph"/>
        <w:numPr>
          <w:ilvl w:val="0"/>
          <w:numId w:val="2"/>
        </w:numPr>
      </w:pPr>
      <w:r>
        <w:rPr>
          <w:rFonts w:ascii="Arial" w:cs="Arial" w:eastAsia="Arial" w:hAnsi="Arial"/>
          <w:color w:val="404040"/>
          <w:sz w:val="22"/>
          <w:szCs w:val="22"/>
        </w:rPr>
        <w:t xml:space="preserve">Utilisateurs finaux / audiences cibles</w:t>
      </w:r>
    </w:p>
    <w:p>
      <w:pPr>
        <w:pStyle w:val="ListParagraph"/>
        <w:numPr>
          <w:ilvl w:val="0"/>
          <w:numId w:val="2"/>
        </w:numPr>
      </w:pPr>
      <w:r>
        <w:rPr>
          <w:rFonts w:ascii="Arial" w:cs="Arial" w:eastAsia="Arial" w:hAnsi="Arial"/>
          <w:color w:val="404040"/>
          <w:sz w:val="22"/>
          <w:szCs w:val="22"/>
        </w:rPr>
        <w:t xml:space="preserve">Limitations d'utilisation et contextes a eviter</w:t>
      </w:r>
    </w:p>
    <w:p>
      <w:pPr>
        <w:spacing w:before="200"/>
      </w:pPr>
    </w:p>
    <w:p>
      <w:pPr>
        <w:pStyle w:val="Heading2"/>
      </w:pPr>
      <w:r>
        <w:t xml:space="preserve">Partie 3 : Données d'entrainement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Aspect</w:t>
            </w:r>
          </w:p>
        </w:tc>
        <w:tc>
          <w:tcPr>
            <w:tcW w:type="dxa" w:w="6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Source des données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Origine, fournisseur, méthode de collection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Volume et composition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Nombre d'echantillons, distribution par categories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Representativite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Populations couverte/non couverte, biais potentiels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Consentement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Permissions obtenues pour l'utilisation des données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Periodes couverts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Plages temporelles des données d'entrainement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Nettoyage/preprocèssing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Transformations et ajustements appliques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Licence et droit d'usage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Droits d'utilisation et restrictions</w:t>
            </w:r>
          </w:p>
        </w:tc>
      </w:tr>
    </w:tbl>
    <w:p>
      <w:pPr>
        <w:spacing w:before="200"/>
      </w:pPr>
    </w:p>
    <w:p>
      <w:pPr>
        <w:pStyle w:val="Heading2"/>
      </w:pPr>
      <w:r>
        <w:t xml:space="preserve">Partie 4 : Architecture et approche technique</w:t>
      </w:r>
    </w:p>
    <w:p>
      <w:r>
        <w:rPr>
          <w:rFonts w:ascii="Arial" w:cs="Arial" w:eastAsia="Arial" w:hAnsi="Arial"/>
          <w:color w:val="404040"/>
          <w:sz w:val="22"/>
          <w:szCs w:val="22"/>
        </w:rPr>
        <w:t xml:space="preserve">Description des caracteristiques techniques du modèle :</w:t>
      </w:r>
    </w:p>
    <w:p>
      <w:pPr>
        <w:pStyle w:val="ListParagraph"/>
        <w:numPr>
          <w:ilvl w:val="0"/>
          <w:numId w:val="2"/>
        </w:numPr>
      </w:pPr>
      <w:r>
        <w:rPr>
          <w:rFonts w:ascii="Arial" w:cs="Arial" w:eastAsia="Arial" w:hAnsi="Arial"/>
          <w:color w:val="404040"/>
          <w:sz w:val="22"/>
          <w:szCs w:val="22"/>
        </w:rPr>
        <w:t xml:space="preserve">Type d'algorithme (regression, classification, clustering, transformation, LLM, etc.)</w:t>
      </w:r>
    </w:p>
    <w:p>
      <w:pPr>
        <w:pStyle w:val="ListParagraph"/>
        <w:numPr>
          <w:ilvl w:val="0"/>
          <w:numId w:val="2"/>
        </w:numPr>
      </w:pPr>
      <w:r>
        <w:rPr>
          <w:rFonts w:ascii="Arial" w:cs="Arial" w:eastAsia="Arial" w:hAnsi="Arial"/>
          <w:color w:val="404040"/>
          <w:sz w:val="22"/>
          <w:szCs w:val="22"/>
        </w:rPr>
        <w:t xml:space="preserve">Hyperparametres cles</w:t>
      </w:r>
    </w:p>
    <w:p>
      <w:pPr>
        <w:pStyle w:val="ListParagraph"/>
        <w:numPr>
          <w:ilvl w:val="0"/>
          <w:numId w:val="2"/>
        </w:numPr>
      </w:pPr>
      <w:r>
        <w:rPr>
          <w:rFonts w:ascii="Arial" w:cs="Arial" w:eastAsia="Arial" w:hAnsi="Arial"/>
          <w:color w:val="404040"/>
          <w:sz w:val="22"/>
          <w:szCs w:val="22"/>
        </w:rPr>
        <w:t xml:space="preserve">Infrastructure et ressources computationnelles</w:t>
      </w:r>
    </w:p>
    <w:p>
      <w:pPr>
        <w:pStyle w:val="ListParagraph"/>
        <w:numPr>
          <w:ilvl w:val="0"/>
          <w:numId w:val="2"/>
        </w:numPr>
      </w:pPr>
      <w:r>
        <w:rPr>
          <w:rFonts w:ascii="Arial" w:cs="Arial" w:eastAsia="Arial" w:hAnsi="Arial"/>
          <w:color w:val="404040"/>
          <w:sz w:val="22"/>
          <w:szCs w:val="22"/>
        </w:rPr>
        <w:t xml:space="preserve">Versions des frameworks utilises (TensorFlow, PyTorch, etc.)</w:t>
      </w:r>
    </w:p>
    <w:p>
      <w:pPr>
        <w:pStyle w:val="ListParagraph"/>
        <w:numPr>
          <w:ilvl w:val="0"/>
          <w:numId w:val="2"/>
        </w:numPr>
      </w:pPr>
      <w:r>
        <w:rPr>
          <w:rFonts w:ascii="Arial" w:cs="Arial" w:eastAsia="Arial" w:hAnsi="Arial"/>
          <w:color w:val="404040"/>
          <w:sz w:val="22"/>
          <w:szCs w:val="22"/>
        </w:rPr>
        <w:t xml:space="preserve">Méthode d'entrainement (supervise, non supervise, par renforcement)</w:t>
      </w:r>
    </w:p>
    <w:p>
      <w:pPr>
        <w:spacing w:before="200"/>
      </w:pPr>
    </w:p>
    <w:p>
      <w:pPr>
        <w:pStyle w:val="Heading2"/>
      </w:pPr>
      <w:r>
        <w:t xml:space="preserve">Partie 5 : Performance et metriques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Metrique</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Valeur</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Precision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[VALEUR]%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Sur ensemble de test / validation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Rappel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[VALEUR]%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F1-Score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[VALEUR]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Si applicable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AUC-ROC</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[VALEUR]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Si applicable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Erreur absolue moyenne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[VALEUR]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Si applicable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Temps d'inference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[DUREE]ms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Par requete moyenne</w:t>
            </w:r>
          </w:p>
        </w:tc>
      </w:tr>
    </w:tbl>
    <w:p>
      <w:pPr>
        <w:spacing w:before="200"/>
      </w:pPr>
    </w:p>
    <w:p>
      <w:pPr>
        <w:pStyle w:val="Heading2"/>
      </w:pPr>
      <w:r>
        <w:t xml:space="preserve">Partie 6 : Limites et biais connus</w:t>
      </w:r>
    </w:p>
    <w:p>
      <w:r>
        <w:rPr>
          <w:rFonts w:ascii="Arial" w:cs="Arial" w:eastAsia="Arial" w:hAnsi="Arial"/>
          <w:color w:val="404040"/>
          <w:sz w:val="22"/>
          <w:szCs w:val="22"/>
        </w:rPr>
        <w:t xml:space="preserve">Documentation honnete des limites du modèle :</w:t>
      </w:r>
    </w:p>
    <w:p>
      <w:pPr>
        <w:pStyle w:val="ListParagraph"/>
        <w:numPr>
          <w:ilvl w:val="0"/>
          <w:numId w:val="2"/>
        </w:numPr>
      </w:pPr>
      <w:r>
        <w:rPr>
          <w:rFonts w:ascii="Arial" w:cs="Arial" w:eastAsia="Arial" w:hAnsi="Arial"/>
          <w:color w:val="404040"/>
          <w:sz w:val="22"/>
          <w:szCs w:val="22"/>
        </w:rPr>
        <w:t xml:space="preserve">Precision reduite pour certains sous-groupes de population</w:t>
      </w:r>
    </w:p>
    <w:p>
      <w:pPr>
        <w:pStyle w:val="ListParagraph"/>
        <w:numPr>
          <w:ilvl w:val="0"/>
          <w:numId w:val="2"/>
        </w:numPr>
      </w:pPr>
      <w:r>
        <w:rPr>
          <w:rFonts w:ascii="Arial" w:cs="Arial" w:eastAsia="Arial" w:hAnsi="Arial"/>
          <w:color w:val="404040"/>
          <w:sz w:val="22"/>
          <w:szCs w:val="22"/>
        </w:rPr>
        <w:t xml:space="preserve">Performace inferieure sur données hors distribution (out-of-distribution)</w:t>
      </w:r>
    </w:p>
    <w:p>
      <w:pPr>
        <w:pStyle w:val="ListParagraph"/>
        <w:numPr>
          <w:ilvl w:val="0"/>
          <w:numId w:val="2"/>
        </w:numPr>
      </w:pPr>
      <w:r>
        <w:rPr>
          <w:rFonts w:ascii="Arial" w:cs="Arial" w:eastAsia="Arial" w:hAnsi="Arial"/>
          <w:color w:val="404040"/>
          <w:sz w:val="22"/>
          <w:szCs w:val="22"/>
        </w:rPr>
        <w:t xml:space="preserve">Groupes demografiques sous-representes ou surrepresentes</w:t>
      </w:r>
    </w:p>
    <w:p>
      <w:pPr>
        <w:pStyle w:val="ListParagraph"/>
        <w:numPr>
          <w:ilvl w:val="0"/>
          <w:numId w:val="2"/>
        </w:numPr>
      </w:pPr>
      <w:r>
        <w:rPr>
          <w:rFonts w:ascii="Arial" w:cs="Arial" w:eastAsia="Arial" w:hAnsi="Arial"/>
          <w:color w:val="404040"/>
          <w:sz w:val="22"/>
          <w:szCs w:val="22"/>
        </w:rPr>
        <w:t xml:space="preserve">Scenarios d'utilisation non couverts par l'entrainement</w:t>
      </w:r>
    </w:p>
    <w:p>
      <w:pPr>
        <w:pStyle w:val="ListParagraph"/>
        <w:numPr>
          <w:ilvl w:val="0"/>
          <w:numId w:val="2"/>
        </w:numPr>
      </w:pPr>
      <w:r>
        <w:rPr>
          <w:rFonts w:ascii="Arial" w:cs="Arial" w:eastAsia="Arial" w:hAnsi="Arial"/>
          <w:color w:val="404040"/>
          <w:sz w:val="22"/>
          <w:szCs w:val="22"/>
        </w:rPr>
        <w:t xml:space="preserve">Tendances a surapprentissage (overfitting) ou sous-apprentissage</w:t>
      </w:r>
    </w:p>
    <w:p>
      <w:pPr>
        <w:spacing w:before="200"/>
      </w:pPr>
    </w:p>
    <w:p>
      <w:pPr>
        <w:pStyle w:val="Heading2"/>
      </w:pPr>
      <w:r>
        <w:t xml:space="preserve">Partie 7 : Considerations d'equite et responsabilité</w:t>
      </w:r>
    </w:p>
    <w:p>
      <w:r>
        <w:rPr>
          <w:rFonts w:ascii="Arial" w:cs="Arial" w:eastAsia="Arial" w:hAnsi="Arial"/>
          <w:color w:val="404040"/>
          <w:sz w:val="22"/>
          <w:szCs w:val="22"/>
        </w:rPr>
        <w:t xml:space="preserve">Analyse des impacts et mesures d'attenuation :</w:t>
      </w:r>
    </w:p>
    <w:p>
      <w:pPr>
        <w:pStyle w:val="ListParagraph"/>
        <w:numPr>
          <w:ilvl w:val="0"/>
          <w:numId w:val="3"/>
        </w:numPr>
      </w:pPr>
      <w:r>
        <w:rPr>
          <w:rFonts w:ascii="Arial" w:cs="Arial" w:eastAsia="Arial" w:hAnsi="Arial"/>
          <w:color w:val="404040"/>
          <w:sz w:val="22"/>
          <w:szCs w:val="22"/>
        </w:rPr>
        <w:t xml:space="preserve">Identifiér les groupes potentiellement desavantages par le modèle</w:t>
      </w:r>
    </w:p>
    <w:p>
      <w:pPr>
        <w:pStyle w:val="ListParagraph"/>
        <w:numPr>
          <w:ilvl w:val="0"/>
          <w:numId w:val="3"/>
        </w:numPr>
      </w:pPr>
      <w:r>
        <w:rPr>
          <w:rFonts w:ascii="Arial" w:cs="Arial" w:eastAsia="Arial" w:hAnsi="Arial"/>
          <w:color w:val="404040"/>
          <w:sz w:val="22"/>
          <w:szCs w:val="22"/>
        </w:rPr>
        <w:t xml:space="preserve">Évaluer les consequences d'une prediction incorrecte pour chaque groupe</w:t>
      </w:r>
    </w:p>
    <w:p>
      <w:pPr>
        <w:pStyle w:val="ListParagraph"/>
        <w:numPr>
          <w:ilvl w:val="0"/>
          <w:numId w:val="3"/>
        </w:numPr>
      </w:pPr>
      <w:r>
        <w:rPr>
          <w:rFonts w:ascii="Arial" w:cs="Arial" w:eastAsia="Arial" w:hAnsi="Arial"/>
          <w:color w:val="404040"/>
          <w:sz w:val="22"/>
          <w:szCs w:val="22"/>
        </w:rPr>
        <w:t xml:space="preserve">Documenter les tests de biais realises</w:t>
      </w:r>
    </w:p>
    <w:p>
      <w:pPr>
        <w:pStyle w:val="ListParagraph"/>
        <w:numPr>
          <w:ilvl w:val="0"/>
          <w:numId w:val="3"/>
        </w:numPr>
      </w:pPr>
      <w:r>
        <w:rPr>
          <w:rFonts w:ascii="Arial" w:cs="Arial" w:eastAsia="Arial" w:hAnsi="Arial"/>
          <w:color w:val="404040"/>
          <w:sz w:val="22"/>
          <w:szCs w:val="22"/>
        </w:rPr>
        <w:t xml:space="preserve">Proposer des mesures de mitigation (monitoring, intervention humaine, etc.)</w:t>
      </w:r>
    </w:p>
    <w:p>
      <w:pPr>
        <w:pStyle w:val="ListParagraph"/>
        <w:numPr>
          <w:ilvl w:val="0"/>
          <w:numId w:val="3"/>
        </w:numPr>
      </w:pPr>
      <w:r>
        <w:rPr>
          <w:rFonts w:ascii="Arial" w:cs="Arial" w:eastAsia="Arial" w:hAnsi="Arial"/>
          <w:color w:val="404040"/>
          <w:sz w:val="22"/>
          <w:szCs w:val="22"/>
        </w:rPr>
        <w:t xml:space="preserve">Etablir des seuils d'acceptabilité par groupe demografique</w:t>
      </w:r>
    </w:p>
    <w:p>
      <w:pPr>
        <w:spacing w:before="200"/>
      </w:pPr>
    </w:p>
    <w:p>
      <w:pPr>
        <w:pStyle w:val="Heading2"/>
      </w:pPr>
      <w:r>
        <w:t xml:space="preserve">Partie 8 : Recommandations et guidelines d'utilisation</w:t>
      </w:r>
    </w:p>
    <w:p>
      <w:r>
        <w:rPr>
          <w:rFonts w:ascii="Arial" w:cs="Arial" w:eastAsia="Arial" w:hAnsi="Arial"/>
          <w:color w:val="404040"/>
          <w:sz w:val="22"/>
          <w:szCs w:val="22"/>
        </w:rPr>
        <w:t xml:space="preserve">Directives claires pour l'utilisation responsable :</w:t>
      </w:r>
    </w:p>
    <w:p>
      <w:pPr>
        <w:pStyle w:val="ListParagraph"/>
        <w:numPr>
          <w:ilvl w:val="0"/>
          <w:numId w:val="2"/>
        </w:numPr>
      </w:pPr>
      <w:r>
        <w:rPr>
          <w:rFonts w:ascii="Arial" w:cs="Arial" w:eastAsia="Arial" w:hAnsi="Arial"/>
          <w:color w:val="404040"/>
          <w:sz w:val="22"/>
          <w:szCs w:val="22"/>
        </w:rPr>
        <w:t xml:space="preserve">Cas d'usage recommandes</w:t>
      </w:r>
    </w:p>
    <w:p>
      <w:pPr>
        <w:pStyle w:val="ListParagraph"/>
        <w:numPr>
          <w:ilvl w:val="0"/>
          <w:numId w:val="2"/>
        </w:numPr>
      </w:pPr>
      <w:r>
        <w:rPr>
          <w:rFonts w:ascii="Arial" w:cs="Arial" w:eastAsia="Arial" w:hAnsi="Arial"/>
          <w:color w:val="404040"/>
          <w:sz w:val="22"/>
          <w:szCs w:val="22"/>
        </w:rPr>
        <w:t xml:space="preserve">Cas d'usage a eviter absolument</w:t>
      </w:r>
    </w:p>
    <w:p>
      <w:pPr>
        <w:pStyle w:val="ListParagraph"/>
        <w:numPr>
          <w:ilvl w:val="0"/>
          <w:numId w:val="2"/>
        </w:numPr>
      </w:pPr>
      <w:r>
        <w:rPr>
          <w:rFonts w:ascii="Arial" w:cs="Arial" w:eastAsia="Arial" w:hAnsi="Arial"/>
          <w:color w:val="404040"/>
          <w:sz w:val="22"/>
          <w:szCs w:val="22"/>
        </w:rPr>
        <w:t xml:space="preserve">Frequence de re-entrainement recommandee</w:t>
      </w:r>
    </w:p>
    <w:p>
      <w:pPr>
        <w:pStyle w:val="ListParagraph"/>
        <w:numPr>
          <w:ilvl w:val="0"/>
          <w:numId w:val="2"/>
        </w:numPr>
      </w:pPr>
      <w:r>
        <w:rPr>
          <w:rFonts w:ascii="Arial" w:cs="Arial" w:eastAsia="Arial" w:hAnsi="Arial"/>
          <w:color w:val="404040"/>
          <w:sz w:val="22"/>
          <w:szCs w:val="22"/>
        </w:rPr>
        <w:t xml:space="preserve">Monitoring et alertes a mettre en place</w:t>
      </w:r>
    </w:p>
    <w:p>
      <w:pPr>
        <w:pStyle w:val="ListParagraph"/>
        <w:numPr>
          <w:ilvl w:val="0"/>
          <w:numId w:val="2"/>
        </w:numPr>
      </w:pPr>
      <w:r>
        <w:rPr>
          <w:rFonts w:ascii="Arial" w:cs="Arial" w:eastAsia="Arial" w:hAnsi="Arial"/>
          <w:color w:val="404040"/>
          <w:sz w:val="22"/>
          <w:szCs w:val="22"/>
        </w:rPr>
        <w:t xml:space="preserve">Procèssus de reclamation/feedback utilisateurs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Exemple de recommandation responsable</w:t>
            </w:r>
          </w:p>
          <w:p>
            <w:pPr>
              <w:spacing w:after="0"/>
            </w:pPr>
            <w:r>
              <w:rPr>
                <w:rFonts w:ascii="Arial" w:cs="Arial" w:eastAsia="Arial" w:hAnsi="Arial"/>
                <w:color w:val="404040"/>
                <w:sz w:val="20"/>
                <w:szCs w:val="20"/>
              </w:rPr>
              <w:t xml:space="preserve">Le modèle [NOM_MODELE] ne doit jamais etre utilise de maniere autonome pour des décisions affectant les droits fondamentaux des personnes (embauche, credit, santé). Son utilisation est limitée a des contextes de support décisionnels avec validation humaine obligatoire.</w:t>
            </w:r>
          </w:p>
        </w:tc>
      </w:tr>
    </w:tbl>
    <w:p>
      <w:pPr>
        <w:spacing w:before="200"/>
      </w:pPr>
    </w:p>
    <w:p>
      <w:pPr>
        <w:pStyle w:val="Heading1"/>
      </w:pPr>
      <w:r>
        <w:t xml:space="preserve">Procèssus de validation et d'approbation</w:t>
      </w:r>
    </w:p>
    <w:p>
      <w:r>
        <w:rPr>
          <w:rFonts w:ascii="Arial" w:cs="Arial" w:eastAsia="Arial" w:hAnsi="Arial"/>
          <w:color w:val="404040"/>
          <w:sz w:val="22"/>
          <w:szCs w:val="22"/>
        </w:rPr>
        <w:t xml:space="preserve">Chaque Model Card doit être validee par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58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Validation</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Critères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technique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Verifier l'exactitude technique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Completude des données, coherence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Examiner la gouvernance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Conformité avec les politiques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conformité</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Évaluer les risques ethiques/réglementaires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equite, confidentialite</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annuelle ou lors de changement majeur du modèle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Model Card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Documentation standardisée decrivant un modèle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Overfitting</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Phenomene ou le modèle memorise les données plutôt que d'apprendre des patterns generalistes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Fiche Technique - Model Card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2026-03-05T02:24:50.044Z</dcterms:created>
  <dcterms:modified xsi:type="dcterms:W3CDTF">2026-03-05T02:24:50.044Z</dcterms:modified>
</cp:coreProperties>
</file>

<file path=docProps/custom.xml><?xml version="1.0" encoding="utf-8"?>
<Properties xmlns="http://schemas.openxmlformats.org/officeDocument/2006/custom-properties" xmlns:vt="http://schemas.openxmlformats.org/officeDocument/2006/docPropsVTypes"/>
</file>