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Procèssus d'Approbation des Projets IA</w:t>
      </w:r>
    </w:p>
    <w:p>
      <w:pPr>
        <w:spacing w:after="600"/>
        <w:jc w:val="center"/>
      </w:pPr>
      <w:r>
        <w:rPr>
          <w:rFonts w:ascii="Arial" w:cs="Arial" w:eastAsia="Arial" w:hAnsi="Arial"/>
          <w:color w:val="2E75B6"/>
          <w:sz w:val="24"/>
          <w:szCs w:val="24"/>
        </w:rPr>
        <w:t xml:space="preserve">Workflow de validation et d'approbation pour nouveaux projets et systèmes d'intelligence artificielle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 et contexte</w:t>
      </w:r>
    </w:p>
    <w:p>
      <w:r>
        <w:rPr>
          <w:rFonts w:ascii="Arial" w:cs="Arial" w:eastAsia="Arial" w:hAnsi="Arial"/>
          <w:color w:val="404040"/>
          <w:sz w:val="22"/>
          <w:szCs w:val="22"/>
        </w:rPr>
        <w:t xml:space="preserve">Le procèssus d'approbation des projets IA est un mecanisme de gouvernance essentiel pour s'assurer que tous les nouveaux développéments et deployments IA sont evalues pour les risques et la conformité avant leur mise en oeuvre.</w:t>
      </w:r>
    </w:p>
    <w:p>
      <w:pPr>
        <w:pStyle w:val="Heading2"/>
      </w:pPr>
      <w:r>
        <w:t xml:space="preserve">Objectif</w:t>
      </w:r>
    </w:p>
    <w:p>
      <w:r>
        <w:rPr>
          <w:rFonts w:ascii="Arial" w:cs="Arial" w:eastAsia="Arial" w:hAnsi="Arial"/>
          <w:color w:val="404040"/>
          <w:sz w:val="22"/>
          <w:szCs w:val="22"/>
        </w:rPr>
        <w:t xml:space="preserve">Etablir un procèssus transparent et equitable d'évaluation des projets IA qui :</w:t>
      </w:r>
    </w:p>
    <w:p>
      <w:pPr>
        <w:pStyle w:val="ListParagraph"/>
        <w:numPr>
          <w:ilvl w:val="0"/>
          <w:numId w:val="2"/>
        </w:numPr>
      </w:pPr>
      <w:r>
        <w:rPr>
          <w:rFonts w:ascii="Arial" w:cs="Arial" w:eastAsia="Arial" w:hAnsi="Arial"/>
          <w:color w:val="404040"/>
          <w:sz w:val="22"/>
          <w:szCs w:val="22"/>
        </w:rPr>
        <w:t xml:space="preserve">Evalueassurer la viabilite technique et business</w:t>
      </w:r>
    </w:p>
    <w:p>
      <w:pPr>
        <w:pStyle w:val="ListParagraph"/>
        <w:numPr>
          <w:ilvl w:val="0"/>
          <w:numId w:val="2"/>
        </w:numPr>
      </w:pPr>
      <w:r>
        <w:rPr>
          <w:rFonts w:ascii="Arial" w:cs="Arial" w:eastAsia="Arial" w:hAnsi="Arial"/>
          <w:color w:val="404040"/>
          <w:sz w:val="22"/>
          <w:szCs w:val="22"/>
        </w:rPr>
        <w:t xml:space="preserve">Identifié et mitigue les risques ethiques, legaux et opérationnels</w:t>
      </w:r>
    </w:p>
    <w:p>
      <w:pPr>
        <w:pStyle w:val="ListParagraph"/>
        <w:numPr>
          <w:ilvl w:val="0"/>
          <w:numId w:val="2"/>
        </w:numPr>
      </w:pPr>
      <w:r>
        <w:rPr>
          <w:rFonts w:ascii="Arial" w:cs="Arial" w:eastAsia="Arial" w:hAnsi="Arial"/>
          <w:color w:val="404040"/>
          <w:sz w:val="22"/>
          <w:szCs w:val="22"/>
        </w:rPr>
        <w:t xml:space="preserve">Confirme la conformité avec les reglementations applicables</w:t>
      </w:r>
    </w:p>
    <w:p>
      <w:pPr>
        <w:pStyle w:val="ListParagraph"/>
        <w:numPr>
          <w:ilvl w:val="0"/>
          <w:numId w:val="2"/>
        </w:numPr>
      </w:pPr>
      <w:r>
        <w:rPr>
          <w:rFonts w:ascii="Arial" w:cs="Arial" w:eastAsia="Arial" w:hAnsi="Arial"/>
          <w:color w:val="404040"/>
          <w:sz w:val="22"/>
          <w:szCs w:val="22"/>
        </w:rPr>
        <w:t xml:space="preserve">Aligne le projet avec la stratégie et les valeurs de [NOM_ORGANISATION]</w:t>
      </w:r>
    </w:p>
    <w:p>
      <w:pPr>
        <w:pStyle w:val="ListParagraph"/>
        <w:numPr>
          <w:ilvl w:val="0"/>
          <w:numId w:val="2"/>
        </w:numPr>
      </w:pPr>
      <w:r>
        <w:rPr>
          <w:rFonts w:ascii="Arial" w:cs="Arial" w:eastAsia="Arial" w:hAnsi="Arial"/>
          <w:color w:val="404040"/>
          <w:sz w:val="22"/>
          <w:szCs w:val="22"/>
        </w:rPr>
        <w:t xml:space="preserve">Documente les décisions pour audit et traçabilite</w:t>
      </w:r>
    </w:p>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ISO/IEC 42001:2023 - Procèssus de gouvernance</w:t>
      </w:r>
    </w:p>
    <w:p>
      <w:pPr>
        <w:pStyle w:val="ListParagraph"/>
        <w:numPr>
          <w:ilvl w:val="0"/>
          <w:numId w:val="2"/>
        </w:numPr>
      </w:pPr>
      <w:r>
        <w:rPr>
          <w:rFonts w:ascii="Arial" w:cs="Arial" w:eastAsia="Arial" w:hAnsi="Arial"/>
          <w:color w:val="404040"/>
          <w:sz w:val="22"/>
          <w:szCs w:val="22"/>
        </w:rPr>
        <w:t xml:space="preserve">NIST AI RMF - Govern function</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spacing w:before="200"/>
      </w:pPr>
    </w:p>
    <w:p>
      <w:pPr>
        <w:pStyle w:val="Heading1"/>
      </w:pPr>
      <w:r>
        <w:t xml:space="preserve">Etapes du procèssus d'approbation</w:t>
      </w:r>
    </w:p>
    <w:p>
      <w:pPr>
        <w:pStyle w:val="Heading2"/>
      </w:pPr>
      <w:r>
        <w:t xml:space="preserve">Etape 1 : Soumission et enregistrement</w:t>
      </w:r>
    </w:p>
    <w:p>
      <w:r>
        <w:rPr>
          <w:rFonts w:ascii="Arial" w:cs="Arial" w:eastAsia="Arial" w:hAnsi="Arial"/>
          <w:color w:val="404040"/>
          <w:sz w:val="22"/>
          <w:szCs w:val="22"/>
        </w:rPr>
        <w:t xml:space="preserve">Le porteur de projet soumet sa demande en completant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Information</w:t>
            </w:r>
          </w:p>
        </w:tc>
        <w:tc>
          <w:tcPr>
            <w:tcW w:type="dxa" w:w="6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Titre et description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 du projet et description opérationnelle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Objectifs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Resultats attendus et metriques de success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Contexte et justification</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Pourquoi ce projet est-il necessaire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 et ressources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Estimation des coûts et besoins en ressources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Calendrier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Echeances et milestones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Équipe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Rôles et compétences necessaires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Risques identifiés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Premiers risques connus ou pressentis</w:t>
            </w:r>
          </w:p>
        </w:tc>
      </w:tr>
    </w:tbl>
    <w:p>
      <w:pPr>
        <w:spacing w:before="200"/>
      </w:pPr>
    </w:p>
    <w:p>
      <w:pPr>
        <w:pStyle w:val="Heading2"/>
      </w:pPr>
      <w:r>
        <w:t xml:space="preserve">Etape 2 : Évaluation technique</w:t>
      </w:r>
    </w:p>
    <w:p>
      <w:r>
        <w:rPr>
          <w:rFonts w:ascii="Arial" w:cs="Arial" w:eastAsia="Arial" w:hAnsi="Arial"/>
          <w:color w:val="404040"/>
          <w:sz w:val="22"/>
          <w:szCs w:val="22"/>
        </w:rPr>
        <w:t xml:space="preserve">Équipe technique evalueasse la faisabilite et la solidite technique :</w:t>
      </w:r>
    </w:p>
    <w:p>
      <w:pPr>
        <w:pStyle w:val="ListParagraph"/>
        <w:numPr>
          <w:ilvl w:val="0"/>
          <w:numId w:val="3"/>
        </w:numPr>
      </w:pPr>
      <w:r>
        <w:rPr>
          <w:rFonts w:ascii="Arial" w:cs="Arial" w:eastAsia="Arial" w:hAnsi="Arial"/>
          <w:color w:val="404040"/>
          <w:sz w:val="22"/>
          <w:szCs w:val="22"/>
        </w:rPr>
        <w:t xml:space="preserve">Verifier la pertinence et la competitivite de l'approche IA proposee</w:t>
      </w:r>
    </w:p>
    <w:p>
      <w:pPr>
        <w:pStyle w:val="ListParagraph"/>
        <w:numPr>
          <w:ilvl w:val="0"/>
          <w:numId w:val="3"/>
        </w:numPr>
      </w:pPr>
      <w:r>
        <w:rPr>
          <w:rFonts w:ascii="Arial" w:cs="Arial" w:eastAsia="Arial" w:hAnsi="Arial"/>
          <w:color w:val="404040"/>
          <w:sz w:val="22"/>
          <w:szCs w:val="22"/>
        </w:rPr>
        <w:t xml:space="preserve">Évaluer les compétences techniques disponibles</w:t>
      </w:r>
    </w:p>
    <w:p>
      <w:pPr>
        <w:pStyle w:val="ListParagraph"/>
        <w:numPr>
          <w:ilvl w:val="0"/>
          <w:numId w:val="3"/>
        </w:numPr>
      </w:pPr>
      <w:r>
        <w:rPr>
          <w:rFonts w:ascii="Arial" w:cs="Arial" w:eastAsia="Arial" w:hAnsi="Arial"/>
          <w:color w:val="404040"/>
          <w:sz w:val="22"/>
          <w:szCs w:val="22"/>
        </w:rPr>
        <w:t xml:space="preserve">Estimer les ressources computationnelles requises</w:t>
      </w:r>
    </w:p>
    <w:p>
      <w:pPr>
        <w:pStyle w:val="ListParagraph"/>
        <w:numPr>
          <w:ilvl w:val="0"/>
          <w:numId w:val="3"/>
        </w:numPr>
      </w:pPr>
      <w:r>
        <w:rPr>
          <w:rFonts w:ascii="Arial" w:cs="Arial" w:eastAsia="Arial" w:hAnsi="Arial"/>
          <w:color w:val="404040"/>
          <w:sz w:val="22"/>
          <w:szCs w:val="22"/>
        </w:rPr>
        <w:t xml:space="preserve">Valider la disponibilite des données necessaires</w:t>
      </w:r>
    </w:p>
    <w:p>
      <w:pPr>
        <w:pStyle w:val="ListParagraph"/>
        <w:numPr>
          <w:ilvl w:val="0"/>
          <w:numId w:val="3"/>
        </w:numPr>
      </w:pPr>
      <w:r>
        <w:rPr>
          <w:rFonts w:ascii="Arial" w:cs="Arial" w:eastAsia="Arial" w:hAnsi="Arial"/>
          <w:color w:val="404040"/>
          <w:sz w:val="22"/>
          <w:szCs w:val="22"/>
        </w:rPr>
        <w:t xml:space="preserve">Identifiér les dépendances techniques et les risques</w:t>
      </w:r>
    </w:p>
    <w:p>
      <w:pPr>
        <w:pStyle w:val="ListParagraph"/>
        <w:numPr>
          <w:ilvl w:val="0"/>
          <w:numId w:val="3"/>
        </w:numPr>
      </w:pPr>
      <w:r>
        <w:rPr>
          <w:rFonts w:ascii="Arial" w:cs="Arial" w:eastAsia="Arial" w:hAnsi="Arial"/>
          <w:color w:val="404040"/>
          <w:sz w:val="22"/>
          <w:szCs w:val="22"/>
        </w:rPr>
        <w:t xml:space="preserve">Recommander l'approbation, approbation conditionnelle, ou rejet</w:t>
      </w:r>
    </w:p>
    <w:p>
      <w:pPr>
        <w:spacing w:before="200"/>
      </w:pPr>
    </w:p>
    <w:p>
      <w:pPr>
        <w:pStyle w:val="Heading2"/>
      </w:pPr>
      <w:r>
        <w:t xml:space="preserve">Etape 3 : Évaluation ethique et des risques</w:t>
      </w:r>
    </w:p>
    <w:p>
      <w:r>
        <w:rPr>
          <w:rFonts w:ascii="Arial" w:cs="Arial" w:eastAsia="Arial" w:hAnsi="Arial"/>
          <w:color w:val="404040"/>
          <w:sz w:val="22"/>
          <w:szCs w:val="22"/>
        </w:rPr>
        <w:t xml:space="preserve">Évaluation des impacts ethiques et sociaux :</w:t>
      </w:r>
    </w:p>
    <w:p>
      <w:pPr>
        <w:pStyle w:val="ListParagraph"/>
        <w:numPr>
          <w:ilvl w:val="0"/>
          <w:numId w:val="2"/>
        </w:numPr>
      </w:pPr>
      <w:r>
        <w:rPr>
          <w:rFonts w:ascii="Arial" w:cs="Arial" w:eastAsia="Arial" w:hAnsi="Arial"/>
          <w:color w:val="404040"/>
          <w:sz w:val="22"/>
          <w:szCs w:val="22"/>
        </w:rPr>
        <w:t xml:space="preserve">Identifiér les groupes potentiellement affectes</w:t>
      </w:r>
    </w:p>
    <w:p>
      <w:pPr>
        <w:pStyle w:val="ListParagraph"/>
        <w:numPr>
          <w:ilvl w:val="0"/>
          <w:numId w:val="2"/>
        </w:numPr>
      </w:pPr>
      <w:r>
        <w:rPr>
          <w:rFonts w:ascii="Arial" w:cs="Arial" w:eastAsia="Arial" w:hAnsi="Arial"/>
          <w:color w:val="404040"/>
          <w:sz w:val="22"/>
          <w:szCs w:val="22"/>
        </w:rPr>
        <w:t xml:space="preserve">Évaluer les risques de biais et discrimination</w:t>
      </w:r>
    </w:p>
    <w:p>
      <w:pPr>
        <w:pStyle w:val="ListParagraph"/>
        <w:numPr>
          <w:ilvl w:val="0"/>
          <w:numId w:val="2"/>
        </w:numPr>
      </w:pPr>
      <w:r>
        <w:rPr>
          <w:rFonts w:ascii="Arial" w:cs="Arial" w:eastAsia="Arial" w:hAnsi="Arial"/>
          <w:color w:val="404040"/>
          <w:sz w:val="22"/>
          <w:szCs w:val="22"/>
        </w:rPr>
        <w:t xml:space="preserve">Analyser les impacts sur la vie privee et la confidentialite</w:t>
      </w:r>
    </w:p>
    <w:p>
      <w:pPr>
        <w:pStyle w:val="ListParagraph"/>
        <w:numPr>
          <w:ilvl w:val="0"/>
          <w:numId w:val="2"/>
        </w:numPr>
      </w:pPr>
      <w:r>
        <w:rPr>
          <w:rFonts w:ascii="Arial" w:cs="Arial" w:eastAsia="Arial" w:hAnsi="Arial"/>
          <w:color w:val="404040"/>
          <w:sz w:val="22"/>
          <w:szCs w:val="22"/>
        </w:rPr>
        <w:t xml:space="preserve">Évaluer les risques de manipulation ou d'usage abusif</w:t>
      </w:r>
    </w:p>
    <w:p>
      <w:pPr>
        <w:pStyle w:val="ListParagraph"/>
        <w:numPr>
          <w:ilvl w:val="0"/>
          <w:numId w:val="2"/>
        </w:numPr>
      </w:pPr>
      <w:r>
        <w:rPr>
          <w:rFonts w:ascii="Arial" w:cs="Arial" w:eastAsia="Arial" w:hAnsi="Arial"/>
          <w:color w:val="404040"/>
          <w:sz w:val="22"/>
          <w:szCs w:val="22"/>
        </w:rPr>
        <w:t xml:space="preserve">Considerer la transparence et l'explicabilite requises</w:t>
      </w:r>
    </w:p>
    <w:p>
      <w:pPr>
        <w:pStyle w:val="ListParagraph"/>
        <w:numPr>
          <w:ilvl w:val="0"/>
          <w:numId w:val="2"/>
        </w:numPr>
      </w:pPr>
      <w:r>
        <w:rPr>
          <w:rFonts w:ascii="Arial" w:cs="Arial" w:eastAsia="Arial" w:hAnsi="Arial"/>
          <w:color w:val="404040"/>
          <w:sz w:val="22"/>
          <w:szCs w:val="22"/>
        </w:rPr>
        <w:t xml:space="preserve">Proposer des mesures d'attenuation des risques</w:t>
      </w:r>
    </w:p>
    <w:p>
      <w:pPr>
        <w:spacing w:before="200"/>
      </w:pPr>
    </w:p>
    <w:p>
      <w:pPr>
        <w:pStyle w:val="Heading2"/>
      </w:pPr>
      <w:r>
        <w:t xml:space="preserve">Etape 4 : Évaluation juridique et conformité</w:t>
      </w:r>
    </w:p>
    <w:p>
      <w:r>
        <w:rPr>
          <w:rFonts w:ascii="Arial" w:cs="Arial" w:eastAsia="Arial" w:hAnsi="Arial"/>
          <w:color w:val="404040"/>
          <w:sz w:val="22"/>
          <w:szCs w:val="22"/>
        </w:rPr>
        <w:t xml:space="preserve">Conformité avec les obligations legales et réglementaires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Aspect</w:t>
            </w:r>
          </w:p>
        </w:tc>
        <w:tc>
          <w:tcPr>
            <w:tcW w:type="dxa" w:w="6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Verification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personnelles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Legitimite du traitément, consentement, droit d'accès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 (Québec)</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Conformité avec obligations de protection des renseignements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 C-27 (Fédéral)</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 des exigences si application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Regulateurs sectoriels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Conformité avec normes sectorielles (santé, finance, etc.)</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Responsabilité civile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Assurance et couverture adequates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Propriete intellectuelle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Clarte des droits sur les données et le code</w:t>
            </w:r>
          </w:p>
        </w:tc>
      </w:tr>
    </w:tbl>
    <w:p>
      <w:pPr>
        <w:spacing w:before="200"/>
      </w:pPr>
    </w:p>
    <w:p>
      <w:pPr>
        <w:pStyle w:val="Heading2"/>
      </w:pPr>
      <w:r>
        <w:t xml:space="preserve">Etape 5 : Évaluation financiere</w:t>
      </w:r>
    </w:p>
    <w:p>
      <w:r>
        <w:rPr>
          <w:rFonts w:ascii="Arial" w:cs="Arial" w:eastAsia="Arial" w:hAnsi="Arial"/>
          <w:color w:val="404040"/>
          <w:sz w:val="22"/>
          <w:szCs w:val="22"/>
        </w:rPr>
        <w:t xml:space="preserve">Analyse du business case et de la viabilite financiere :</w:t>
      </w:r>
    </w:p>
    <w:p>
      <w:pPr>
        <w:pStyle w:val="ListParagraph"/>
        <w:numPr>
          <w:ilvl w:val="0"/>
          <w:numId w:val="3"/>
        </w:numPr>
      </w:pPr>
      <w:r>
        <w:rPr>
          <w:rFonts w:ascii="Arial" w:cs="Arial" w:eastAsia="Arial" w:hAnsi="Arial"/>
          <w:color w:val="404040"/>
          <w:sz w:val="22"/>
          <w:szCs w:val="22"/>
        </w:rPr>
        <w:t xml:space="preserve">Valider le budget estime et l'ROI projete</w:t>
      </w:r>
    </w:p>
    <w:p>
      <w:pPr>
        <w:pStyle w:val="ListParagraph"/>
        <w:numPr>
          <w:ilvl w:val="0"/>
          <w:numId w:val="3"/>
        </w:numPr>
      </w:pPr>
      <w:r>
        <w:rPr>
          <w:rFonts w:ascii="Arial" w:cs="Arial" w:eastAsia="Arial" w:hAnsi="Arial"/>
          <w:color w:val="404040"/>
          <w:sz w:val="22"/>
          <w:szCs w:val="22"/>
        </w:rPr>
        <w:t xml:space="preserve">Verifier la disponibilite des ressources financieres</w:t>
      </w:r>
    </w:p>
    <w:p>
      <w:pPr>
        <w:pStyle w:val="ListParagraph"/>
        <w:numPr>
          <w:ilvl w:val="0"/>
          <w:numId w:val="3"/>
        </w:numPr>
      </w:pPr>
      <w:r>
        <w:rPr>
          <w:rFonts w:ascii="Arial" w:cs="Arial" w:eastAsia="Arial" w:hAnsi="Arial"/>
          <w:color w:val="404040"/>
          <w:sz w:val="22"/>
          <w:szCs w:val="22"/>
        </w:rPr>
        <w:t xml:space="preserve">Évaluer les risques financiers (cout des erreurs, litiges, etc.)</w:t>
      </w:r>
    </w:p>
    <w:p>
      <w:pPr>
        <w:pStyle w:val="ListParagraph"/>
        <w:numPr>
          <w:ilvl w:val="0"/>
          <w:numId w:val="3"/>
        </w:numPr>
      </w:pPr>
      <w:r>
        <w:rPr>
          <w:rFonts w:ascii="Arial" w:cs="Arial" w:eastAsia="Arial" w:hAnsi="Arial"/>
          <w:color w:val="404040"/>
          <w:sz w:val="22"/>
          <w:szCs w:val="22"/>
        </w:rPr>
        <w:t xml:space="preserve">Confirmer l'alignement avec les priorites strategiques</w:t>
      </w:r>
    </w:p>
    <w:p>
      <w:pPr>
        <w:pStyle w:val="ListParagraph"/>
        <w:numPr>
          <w:ilvl w:val="0"/>
          <w:numId w:val="3"/>
        </w:numPr>
      </w:pPr>
      <w:r>
        <w:rPr>
          <w:rFonts w:ascii="Arial" w:cs="Arial" w:eastAsia="Arial" w:hAnsi="Arial"/>
          <w:color w:val="404040"/>
          <w:sz w:val="22"/>
          <w:szCs w:val="22"/>
        </w:rPr>
        <w:t xml:space="preserve">Recommander l'approbation ou le rejet sur base financière</w:t>
      </w:r>
    </w:p>
    <w:p>
      <w:pPr>
        <w:spacing w:before="200"/>
      </w:pPr>
    </w:p>
    <w:p>
      <w:pPr>
        <w:pStyle w:val="Heading1"/>
      </w:pPr>
      <w:r>
        <w:t xml:space="preserve">Critères de go/no-go</w:t>
      </w:r>
    </w:p>
    <w:p>
      <w:r>
        <w:rPr>
          <w:rFonts w:ascii="Arial" w:cs="Arial" w:eastAsia="Arial" w:hAnsi="Arial"/>
          <w:color w:val="404040"/>
          <w:sz w:val="22"/>
          <w:szCs w:val="22"/>
        </w:rPr>
        <w:t xml:space="preserve">Pour etre approuve, un projet doit satisfaire les critères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55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Criterium</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Seuil minimal</w:t>
            </w:r>
          </w:p>
        </w:tc>
        <w:tc>
          <w:tcPr>
            <w:tcW w:type="dxa" w:w="5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Consequence du non-respect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Évaluations techniques OK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Tous les risques techniques identifiés et mitigues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Rejet ou approbation conditionnelle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Risques ethiques acceptables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Tous les biais majeurs identifiés et mitigues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Rejet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Conformité legale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100% de conformité ou plan de remediation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Rejet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Business case viable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ROI positif ou objectifs strategiques clairs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Rejet ou approbation conditionnelle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Ressources disponibles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Budget et équipe confirmees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Report ou rejet</w:t>
            </w:r>
          </w:p>
        </w:tc>
      </w:tr>
    </w:tbl>
    <w:p>
      <w:pPr>
        <w:spacing w:before="200"/>
      </w:pPr>
    </w:p>
    <w:p>
      <w:pPr>
        <w:pStyle w:val="Heading1"/>
      </w:pPr>
      <w:r>
        <w:t xml:space="preserve">Comite d'approbation IA</w:t>
      </w:r>
    </w:p>
    <w:p>
      <w:r>
        <w:rPr>
          <w:rFonts w:ascii="Arial" w:cs="Arial" w:eastAsia="Arial" w:hAnsi="Arial"/>
          <w:color w:val="404040"/>
          <w:sz w:val="22"/>
          <w:szCs w:val="22"/>
        </w:rPr>
        <w:t xml:space="preserve">La décision finale est prise par le Comite d'approbation IA, compose de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Membre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President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 procèssus d'approbation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Membre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Valide les aspects techniques et sécurité</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DPO / Responsable conformité</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Membre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Evalue les aspects legaux et ethiques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CFO ou representant finance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Membre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Valide le budget et le business case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Representative utilisateurs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Membre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Apporte la perspective utilisateur</w:t>
            </w:r>
          </w:p>
        </w:tc>
      </w:tr>
    </w:tbl>
    <w:p>
      <w:pPr>
        <w:spacing w:before="200"/>
      </w:pPr>
    </w:p>
    <w:p>
      <w:pPr>
        <w:pStyle w:val="Heading1"/>
      </w:pPr>
      <w:r>
        <w:t xml:space="preserve">Recommandations du comite</w:t>
      </w:r>
    </w:p>
    <w:p>
      <w:r>
        <w:rPr>
          <w:rFonts w:ascii="Arial" w:cs="Arial" w:eastAsia="Arial" w:hAnsi="Arial"/>
          <w:color w:val="404040"/>
          <w:sz w:val="22"/>
          <w:szCs w:val="22"/>
        </w:rPr>
        <w:t xml:space="preserve">Le comite peut emettre l'une des recommandations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Types de recommandations</w:t>
            </w:r>
          </w:p>
          <w:p>
            <w:pPr>
              <w:spacing w:after="0"/>
            </w:pPr>
            <w:r>
              <w:rPr>
                <w:rFonts w:ascii="Arial" w:cs="Arial" w:eastAsia="Arial" w:hAnsi="Arial"/>
                <w:color w:val="404040"/>
                <w:sz w:val="20"/>
                <w:szCs w:val="20"/>
              </w:rPr>
              <w:t xml:space="preserve">1. APPROUVE: Le projet peut proceder tel que soumis.
2. APPROUVE AVEC CONDITIONS: Le projet peut proceder mais doit satisfaire des conditions spécifiques (tests supplementaires, monitoring renforce, limitations d'usage, etc.).
3. APPROUVE AVEC MODIFICATIONS: Le projet peut proceder apres modifications du design ou du scope.
4. REPORTE: Le projet n'est pas approuve maintenant mais peut etre réévalue dans 3-6 mois apres améliorations.
5. REJETE: Le projet ne peut pas proceder (risques trop importants ou non-viabilite).</w:t>
            </w:r>
          </w:p>
        </w:tc>
      </w:tr>
    </w:tbl>
    <w:p>
      <w:pPr>
        <w:spacing w:before="200"/>
      </w:pPr>
    </w:p>
    <w:p>
      <w:pPr>
        <w:pStyle w:val="Heading1"/>
      </w:pPr>
      <w:r>
        <w:t xml:space="preserve">Documentation et communication</w:t>
      </w:r>
    </w:p>
    <w:p>
      <w:r>
        <w:rPr>
          <w:rFonts w:ascii="Arial" w:cs="Arial" w:eastAsia="Arial" w:hAnsi="Arial"/>
          <w:color w:val="404040"/>
          <w:sz w:val="22"/>
          <w:szCs w:val="22"/>
        </w:rPr>
        <w:t xml:space="preserve">Pour chaque décision d'approbation, documenter et communiquer :</w:t>
      </w:r>
    </w:p>
    <w:p>
      <w:pPr>
        <w:pStyle w:val="ListParagraph"/>
        <w:numPr>
          <w:ilvl w:val="0"/>
          <w:numId w:val="2"/>
        </w:numPr>
      </w:pPr>
      <w:r>
        <w:rPr>
          <w:rFonts w:ascii="Arial" w:cs="Arial" w:eastAsia="Arial" w:hAnsi="Arial"/>
          <w:color w:val="404040"/>
          <w:sz w:val="22"/>
          <w:szCs w:val="22"/>
        </w:rPr>
        <w:t xml:space="preserve">La décision et les justifications</w:t>
      </w:r>
    </w:p>
    <w:p>
      <w:pPr>
        <w:pStyle w:val="ListParagraph"/>
        <w:numPr>
          <w:ilvl w:val="0"/>
          <w:numId w:val="2"/>
        </w:numPr>
      </w:pPr>
      <w:r>
        <w:rPr>
          <w:rFonts w:ascii="Arial" w:cs="Arial" w:eastAsia="Arial" w:hAnsi="Arial"/>
          <w:color w:val="404040"/>
          <w:sz w:val="22"/>
          <w:szCs w:val="22"/>
        </w:rPr>
        <w:t xml:space="preserve">Les conditions ou modifications requises</w:t>
      </w:r>
    </w:p>
    <w:p>
      <w:pPr>
        <w:pStyle w:val="ListParagraph"/>
        <w:numPr>
          <w:ilvl w:val="0"/>
          <w:numId w:val="2"/>
        </w:numPr>
      </w:pPr>
      <w:r>
        <w:rPr>
          <w:rFonts w:ascii="Arial" w:cs="Arial" w:eastAsia="Arial" w:hAnsi="Arial"/>
          <w:color w:val="404040"/>
          <w:sz w:val="22"/>
          <w:szCs w:val="22"/>
        </w:rPr>
        <w:t xml:space="preserve">Les responsables de la mise en oeuvre</w:t>
      </w:r>
    </w:p>
    <w:p>
      <w:pPr>
        <w:pStyle w:val="ListParagraph"/>
        <w:numPr>
          <w:ilvl w:val="0"/>
          <w:numId w:val="2"/>
        </w:numPr>
      </w:pPr>
      <w:r>
        <w:rPr>
          <w:rFonts w:ascii="Arial" w:cs="Arial" w:eastAsia="Arial" w:hAnsi="Arial"/>
          <w:color w:val="404040"/>
          <w:sz w:val="22"/>
          <w:szCs w:val="22"/>
        </w:rPr>
        <w:t xml:space="preserve">Les dates de réévaluation si applicable</w:t>
      </w:r>
    </w:p>
    <w:p>
      <w:pPr>
        <w:pStyle w:val="ListParagraph"/>
        <w:numPr>
          <w:ilvl w:val="0"/>
          <w:numId w:val="2"/>
        </w:numPr>
      </w:pPr>
      <w:r>
        <w:rPr>
          <w:rFonts w:ascii="Arial" w:cs="Arial" w:eastAsia="Arial" w:hAnsi="Arial"/>
          <w:color w:val="404040"/>
          <w:sz w:val="22"/>
          <w:szCs w:val="22"/>
        </w:rPr>
        <w:t xml:space="preserve">Les contacts pour questions ou escalades</w:t>
      </w:r>
    </w:p>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apres incident majeur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Go/No-Go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Critères de décision binaire pour approuver ou rejeter un projet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Delegue a la protection des renseignements personnels (Chief Privacy Officer)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Procèssus d'Approbation des Projets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2026-03-05T02:24:50.155Z</dcterms:created>
  <dcterms:modified xsi:type="dcterms:W3CDTF">2026-03-05T02:24:50.155Z</dcterms:modified>
</cp:coreProperties>
</file>

<file path=docProps/custom.xml><?xml version="1.0" encoding="utf-8"?>
<Properties xmlns="http://schemas.openxmlformats.org/officeDocument/2006/custom-properties" xmlns:vt="http://schemas.openxmlformats.org/officeDocument/2006/docPropsVTypes"/>
</file>