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Architecture Technique des Systemes IA</w:t>
      </w:r>
    </w:p>
    <w:p>
      <w:pPr>
        <w:spacing w:after="600"/>
        <w:jc w:val="center"/>
      </w:pPr>
      <w:r>
        <w:rPr>
          <w:rFonts w:ascii="Arial" w:cs="Arial" w:eastAsia="Arial" w:hAnsi="Arial"/>
          <w:color w:val="2E75B6"/>
          <w:sz w:val="24"/>
          <w:szCs w:val="24"/>
        </w:rPr>
        <w:t xml:space="preserve">Documentation de l'architecture, des flux de données et des integrations des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Une architecture technique bien documentée est essentielle pour assurer la maintenabilité, la scalabilité et la sécurité des systèmes d'IA. Ce document définit comment documenter l'architecture des systèmes d'intelligence artificielle chez [NOM_ORGANISATION].</w:t>
      </w:r>
    </w:p>
    <w:p>
      <w:pPr>
        <w:pStyle w:val="Heading2"/>
      </w:pPr>
      <w:r>
        <w:t xml:space="preserve">Objectif</w:t>
      </w:r>
    </w:p>
    <w:p>
      <w:r>
        <w:rPr>
          <w:rFonts w:ascii="Arial" w:cs="Arial" w:eastAsia="Arial" w:hAnsi="Arial"/>
          <w:color w:val="404040"/>
          <w:sz w:val="22"/>
          <w:szCs w:val="22"/>
        </w:rPr>
        <w:t xml:space="preserve">Fournir une vue technique complete des systèmes IA couvrant :</w:t>
      </w:r>
    </w:p>
    <w:p>
      <w:pPr>
        <w:pStyle w:val="ListParagraph"/>
        <w:numPr>
          <w:ilvl w:val="0"/>
          <w:numId w:val="2"/>
        </w:numPr>
      </w:pPr>
      <w:r>
        <w:rPr>
          <w:rFonts w:ascii="Arial" w:cs="Arial" w:eastAsia="Arial" w:hAnsi="Arial"/>
          <w:color w:val="404040"/>
          <w:sz w:val="22"/>
          <w:szCs w:val="22"/>
        </w:rPr>
        <w:t xml:space="preserve">Les composants du systeme et leurs interactions</w:t>
      </w:r>
    </w:p>
    <w:p>
      <w:pPr>
        <w:pStyle w:val="ListParagraph"/>
        <w:numPr>
          <w:ilvl w:val="0"/>
          <w:numId w:val="2"/>
        </w:numPr>
      </w:pPr>
      <w:r>
        <w:rPr>
          <w:rFonts w:ascii="Arial" w:cs="Arial" w:eastAsia="Arial" w:hAnsi="Arial"/>
          <w:color w:val="404040"/>
          <w:sz w:val="22"/>
          <w:szCs w:val="22"/>
        </w:rPr>
        <w:t xml:space="preserve">Les flux de données et les procèssus</w:t>
      </w:r>
    </w:p>
    <w:p>
      <w:pPr>
        <w:pStyle w:val="ListParagraph"/>
        <w:numPr>
          <w:ilvl w:val="0"/>
          <w:numId w:val="2"/>
        </w:numPr>
      </w:pPr>
      <w:r>
        <w:rPr>
          <w:rFonts w:ascii="Arial" w:cs="Arial" w:eastAsia="Arial" w:hAnsi="Arial"/>
          <w:color w:val="404040"/>
          <w:sz w:val="22"/>
          <w:szCs w:val="22"/>
        </w:rPr>
        <w:t xml:space="preserve">L'infrastructure et les ressources utilisees</w:t>
      </w:r>
    </w:p>
    <w:p>
      <w:pPr>
        <w:pStyle w:val="ListParagraph"/>
        <w:numPr>
          <w:ilvl w:val="0"/>
          <w:numId w:val="2"/>
        </w:numPr>
      </w:pPr>
      <w:r>
        <w:rPr>
          <w:rFonts w:ascii="Arial" w:cs="Arial" w:eastAsia="Arial" w:hAnsi="Arial"/>
          <w:color w:val="404040"/>
          <w:sz w:val="22"/>
          <w:szCs w:val="22"/>
        </w:rPr>
        <w:t xml:space="preserve">La sécurité et les mecanismes de protection</w:t>
      </w:r>
    </w:p>
    <w:p>
      <w:pPr>
        <w:pStyle w:val="ListParagraph"/>
        <w:numPr>
          <w:ilvl w:val="0"/>
          <w:numId w:val="2"/>
        </w:numPr>
      </w:pPr>
      <w:r>
        <w:rPr>
          <w:rFonts w:ascii="Arial" w:cs="Arial" w:eastAsia="Arial" w:hAnsi="Arial"/>
          <w:color w:val="404040"/>
          <w:sz w:val="22"/>
          <w:szCs w:val="22"/>
        </w:rPr>
        <w:t xml:space="preserve">La scalabilité et les limites de performance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Architecture et design</w:t>
      </w:r>
    </w:p>
    <w:p>
      <w:pPr>
        <w:pStyle w:val="ListParagraph"/>
        <w:numPr>
          <w:ilvl w:val="0"/>
          <w:numId w:val="2"/>
        </w:numPr>
      </w:pPr>
      <w:r>
        <w:rPr>
          <w:rFonts w:ascii="Arial" w:cs="Arial" w:eastAsia="Arial" w:hAnsi="Arial"/>
          <w:color w:val="404040"/>
          <w:sz w:val="22"/>
          <w:szCs w:val="22"/>
        </w:rPr>
        <w:t xml:space="preserve">IEEE standards for AI system architecture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Composants de l'architecture</w:t>
      </w:r>
    </w:p>
    <w:p>
      <w:pPr>
        <w:pStyle w:val="Heading2"/>
      </w:pPr>
      <w:r>
        <w:t xml:space="preserve">1. Ingestion et preparation des données</w:t>
      </w:r>
    </w:p>
    <w:p>
      <w:r>
        <w:rPr>
          <w:rFonts w:ascii="Arial" w:cs="Arial" w:eastAsia="Arial" w:hAnsi="Arial"/>
          <w:color w:val="404040"/>
          <w:sz w:val="22"/>
          <w:szCs w:val="22"/>
        </w:rPr>
        <w:t xml:space="preserve">Comment les données entrent dans le systeme :</w:t>
      </w:r>
    </w:p>
    <w:p>
      <w:pPr>
        <w:pStyle w:val="ListParagraph"/>
        <w:numPr>
          <w:ilvl w:val="0"/>
          <w:numId w:val="3"/>
        </w:numPr>
      </w:pPr>
      <w:r>
        <w:rPr>
          <w:rFonts w:ascii="Arial" w:cs="Arial" w:eastAsia="Arial" w:hAnsi="Arial"/>
          <w:color w:val="404040"/>
          <w:sz w:val="22"/>
          <w:szCs w:val="22"/>
        </w:rPr>
        <w:t xml:space="preserve">Source de données (base de données, APIs, fichiers, capteurs, etc.)</w:t>
      </w:r>
    </w:p>
    <w:p>
      <w:pPr>
        <w:pStyle w:val="ListParagraph"/>
        <w:numPr>
          <w:ilvl w:val="0"/>
          <w:numId w:val="3"/>
        </w:numPr>
      </w:pPr>
      <w:r>
        <w:rPr>
          <w:rFonts w:ascii="Arial" w:cs="Arial" w:eastAsia="Arial" w:hAnsi="Arial"/>
          <w:color w:val="404040"/>
          <w:sz w:val="22"/>
          <w:szCs w:val="22"/>
        </w:rPr>
        <w:t xml:space="preserve">Protocoles de transmission et formats</w:t>
      </w:r>
    </w:p>
    <w:p>
      <w:pPr>
        <w:pStyle w:val="ListParagraph"/>
        <w:numPr>
          <w:ilvl w:val="0"/>
          <w:numId w:val="3"/>
        </w:numPr>
      </w:pPr>
      <w:r>
        <w:rPr>
          <w:rFonts w:ascii="Arial" w:cs="Arial" w:eastAsia="Arial" w:hAnsi="Arial"/>
          <w:color w:val="404040"/>
          <w:sz w:val="22"/>
          <w:szCs w:val="22"/>
        </w:rPr>
        <w:t xml:space="preserve">Frequence et volume des données entrant</w:t>
      </w:r>
    </w:p>
    <w:p>
      <w:pPr>
        <w:pStyle w:val="ListParagraph"/>
        <w:numPr>
          <w:ilvl w:val="0"/>
          <w:numId w:val="3"/>
        </w:numPr>
      </w:pPr>
      <w:r>
        <w:rPr>
          <w:rFonts w:ascii="Arial" w:cs="Arial" w:eastAsia="Arial" w:hAnsi="Arial"/>
          <w:color w:val="404040"/>
          <w:sz w:val="22"/>
          <w:szCs w:val="22"/>
        </w:rPr>
        <w:t xml:space="preserve">Validations et nettoyage realises</w:t>
      </w:r>
    </w:p>
    <w:p>
      <w:pPr>
        <w:pStyle w:val="ListParagraph"/>
        <w:numPr>
          <w:ilvl w:val="0"/>
          <w:numId w:val="3"/>
        </w:numPr>
      </w:pPr>
      <w:r>
        <w:rPr>
          <w:rFonts w:ascii="Arial" w:cs="Arial" w:eastAsia="Arial" w:hAnsi="Arial"/>
          <w:color w:val="404040"/>
          <w:sz w:val="22"/>
          <w:szCs w:val="22"/>
        </w:rPr>
        <w:t xml:space="preserve">Stockage temporaire si applicable</w:t>
      </w:r>
    </w:p>
    <w:p>
      <w:pPr>
        <w:spacing w:before="200"/>
      </w:pPr>
    </w:p>
    <w:p>
      <w:pPr>
        <w:pStyle w:val="Heading2"/>
      </w:pPr>
      <w:r>
        <w:t xml:space="preserve">2. Modèle et inference</w:t>
      </w:r>
    </w:p>
    <w:p>
      <w:r>
        <w:rPr>
          <w:rFonts w:ascii="Arial" w:cs="Arial" w:eastAsia="Arial" w:hAnsi="Arial"/>
          <w:color w:val="404040"/>
          <w:sz w:val="22"/>
          <w:szCs w:val="22"/>
        </w:rPr>
        <w:t xml:space="preserve">Le coeur du systeme d'IA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de modèle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(classification, regression, génération,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Framework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[FRAMEWORK] (TensorFlow, PyTorch, scikit-learn,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 du modèle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 sauvegarde (pickle, h5, onnx,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Version du modèle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[VERSION] - Identification unique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Hyperparametres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Configuration cles du modèle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Dépendances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Bibliotheques et versions requises</w:t>
            </w:r>
          </w:p>
        </w:tc>
      </w:tr>
    </w:tbl>
    <w:p>
      <w:pPr>
        <w:spacing w:before="200"/>
      </w:pPr>
    </w:p>
    <w:p>
      <w:pPr>
        <w:pStyle w:val="Heading2"/>
      </w:pPr>
      <w:r>
        <w:t xml:space="preserve">3. Traitément des resultats</w:t>
      </w:r>
    </w:p>
    <w:p>
      <w:r>
        <w:rPr>
          <w:rFonts w:ascii="Arial" w:cs="Arial" w:eastAsia="Arial" w:hAnsi="Arial"/>
          <w:color w:val="404040"/>
          <w:sz w:val="22"/>
          <w:szCs w:val="22"/>
        </w:rPr>
        <w:t xml:space="preserve">Ce qu'il advient des predictions du modèle :</w:t>
      </w:r>
    </w:p>
    <w:p>
      <w:pPr>
        <w:pStyle w:val="ListParagraph"/>
        <w:numPr>
          <w:ilvl w:val="0"/>
          <w:numId w:val="2"/>
        </w:numPr>
      </w:pPr>
      <w:r>
        <w:rPr>
          <w:rFonts w:ascii="Arial" w:cs="Arial" w:eastAsia="Arial" w:hAnsi="Arial"/>
          <w:color w:val="404040"/>
          <w:sz w:val="22"/>
          <w:szCs w:val="22"/>
        </w:rPr>
        <w:t xml:space="preserve">Post-procèssing des resultats (normalisation, filtrage, etc.)</w:t>
      </w:r>
    </w:p>
    <w:p>
      <w:pPr>
        <w:pStyle w:val="ListParagraph"/>
        <w:numPr>
          <w:ilvl w:val="0"/>
          <w:numId w:val="2"/>
        </w:numPr>
      </w:pPr>
      <w:r>
        <w:rPr>
          <w:rFonts w:ascii="Arial" w:cs="Arial" w:eastAsia="Arial" w:hAnsi="Arial"/>
          <w:color w:val="404040"/>
          <w:sz w:val="22"/>
          <w:szCs w:val="22"/>
        </w:rPr>
        <w:t xml:space="preserve">Formatage pour l'application consommatrice</w:t>
      </w:r>
    </w:p>
    <w:p>
      <w:pPr>
        <w:pStyle w:val="ListParagraph"/>
        <w:numPr>
          <w:ilvl w:val="0"/>
          <w:numId w:val="2"/>
        </w:numPr>
      </w:pPr>
      <w:r>
        <w:rPr>
          <w:rFonts w:ascii="Arial" w:cs="Arial" w:eastAsia="Arial" w:hAnsi="Arial"/>
          <w:color w:val="404040"/>
          <w:sz w:val="22"/>
          <w:szCs w:val="22"/>
        </w:rPr>
        <w:t xml:space="preserve">Stockage des predictions et metadata</w:t>
      </w:r>
    </w:p>
    <w:p>
      <w:pPr>
        <w:pStyle w:val="ListParagraph"/>
        <w:numPr>
          <w:ilvl w:val="0"/>
          <w:numId w:val="2"/>
        </w:numPr>
      </w:pPr>
      <w:r>
        <w:rPr>
          <w:rFonts w:ascii="Arial" w:cs="Arial" w:eastAsia="Arial" w:hAnsi="Arial"/>
          <w:color w:val="404040"/>
          <w:sz w:val="22"/>
          <w:szCs w:val="22"/>
        </w:rPr>
        <w:t xml:space="preserve">Distribution aux utilisateurs/systèmes</w:t>
      </w:r>
    </w:p>
    <w:p>
      <w:pPr>
        <w:pStyle w:val="ListParagraph"/>
        <w:numPr>
          <w:ilvl w:val="0"/>
          <w:numId w:val="2"/>
        </w:numPr>
      </w:pPr>
      <w:r>
        <w:rPr>
          <w:rFonts w:ascii="Arial" w:cs="Arial" w:eastAsia="Arial" w:hAnsi="Arial"/>
          <w:color w:val="404040"/>
          <w:sz w:val="22"/>
          <w:szCs w:val="22"/>
        </w:rPr>
        <w:t xml:space="preserve">Mecanismes de feedback utilisateur</w:t>
      </w:r>
    </w:p>
    <w:p>
      <w:pPr>
        <w:spacing w:before="200"/>
      </w:pPr>
    </w:p>
    <w:p>
      <w:pPr>
        <w:pStyle w:val="Heading2"/>
      </w:pPr>
      <w:r>
        <w:t xml:space="preserve">4. Infrastructure et orchestration</w:t>
      </w:r>
    </w:p>
    <w:p>
      <w:r>
        <w:rPr>
          <w:rFonts w:ascii="Arial" w:cs="Arial" w:eastAsia="Arial" w:hAnsi="Arial"/>
          <w:color w:val="404040"/>
          <w:sz w:val="22"/>
          <w:szCs w:val="22"/>
        </w:rPr>
        <w:t xml:space="preserve">Le systeme technique supportant le modèle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Hebergement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[CLOUD/ON-PREM] - Plateforme (AWS, Azure, GCP,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Containerisation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Docker/Kubernetes si applicable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Ressources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CPUs, GPUs, RAM alloues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Scaling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Elastique/Manuel, limites min/max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Haute disponibilite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Replication, failover, RPO/RTO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Sauvegarde et recovery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Stratégie de sauvegarde et restauration</w:t>
            </w:r>
          </w:p>
        </w:tc>
      </w:tr>
    </w:tbl>
    <w:p>
      <w:pPr>
        <w:spacing w:before="200"/>
      </w:pPr>
    </w:p>
    <w:p>
      <w:pPr>
        <w:pStyle w:val="Heading1"/>
      </w:pPr>
      <w:r>
        <w:t xml:space="preserve">Flux de données</w:t>
      </w:r>
    </w:p>
    <w:p>
      <w:r>
        <w:rPr>
          <w:rFonts w:ascii="Arial" w:cs="Arial" w:eastAsia="Arial" w:hAnsi="Arial"/>
          <w:color w:val="404040"/>
          <w:sz w:val="22"/>
          <w:szCs w:val="22"/>
        </w:rPr>
        <w:t xml:space="preserve">Diagramme conceptuel du flux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Flux de données standard</w:t>
            </w:r>
          </w:p>
          <w:p>
            <w:pPr>
              <w:spacing w:after="0"/>
            </w:pPr>
            <w:r>
              <w:rPr>
                <w:rFonts w:ascii="Arial" w:cs="Arial" w:eastAsia="Arial" w:hAnsi="Arial"/>
                <w:color w:val="404040"/>
                <w:sz w:val="20"/>
                <w:szCs w:val="20"/>
              </w:rPr>
              <w:t xml:space="preserve">[SOURCE DONNEES] -&gt; [INGESTION] -&gt; [PREPARATION] -&gt; [MODELE IA] -&gt; [POST-PROCESSING] -&gt; [STOCKAGE] -&gt; [CONSOMMATEURS]</w:t>
            </w:r>
          </w:p>
        </w:tc>
      </w:tr>
    </w:tbl>
    <w:p>
      <w:pPr>
        <w:spacing w:before="200"/>
      </w:pPr>
    </w:p>
    <w:p>
      <w:pPr>
        <w:pStyle w:val="Heading1"/>
      </w:pPr>
      <w:r>
        <w:t xml:space="preserve">Integrations et dépendances</w:t>
      </w:r>
    </w:p>
    <w:p>
      <w:r>
        <w:rPr>
          <w:rFonts w:ascii="Arial" w:cs="Arial" w:eastAsia="Arial" w:hAnsi="Arial"/>
          <w:color w:val="404040"/>
          <w:sz w:val="22"/>
          <w:szCs w:val="22"/>
        </w:rPr>
        <w:t xml:space="preserve">Systemes externes dont depend le systeme 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Système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Criticité</w:t>
            </w:r>
          </w:p>
        </w:tc>
        <w:tc>
          <w:tcPr>
            <w:tcW w:type="dxa" w:w="5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Base de données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API externe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 d'authentification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w:t>
            </w:r>
          </w:p>
        </w:tc>
      </w:tr>
    </w:tbl>
    <w:p>
      <w:pPr>
        <w:spacing w:before="200"/>
      </w:pPr>
    </w:p>
    <w:p>
      <w:pPr>
        <w:pStyle w:val="Heading1"/>
      </w:pPr>
      <w:r>
        <w:t xml:space="preserve">Sécurité et protection</w:t>
      </w:r>
    </w:p>
    <w:p>
      <w:pPr>
        <w:pStyle w:val="Heading2"/>
      </w:pPr>
      <w:r>
        <w:t xml:space="preserve">Sécurité des données</w:t>
      </w:r>
    </w:p>
    <w:p>
      <w:r>
        <w:rPr>
          <w:rFonts w:ascii="Arial" w:cs="Arial" w:eastAsia="Arial" w:hAnsi="Arial"/>
          <w:color w:val="404040"/>
          <w:sz w:val="22"/>
          <w:szCs w:val="22"/>
        </w:rPr>
        <w:t xml:space="preserve">Mesures de protection des données :</w:t>
      </w:r>
    </w:p>
    <w:p>
      <w:pPr>
        <w:pStyle w:val="ListParagraph"/>
        <w:numPr>
          <w:ilvl w:val="0"/>
          <w:numId w:val="2"/>
        </w:numPr>
      </w:pPr>
      <w:r>
        <w:rPr>
          <w:rFonts w:ascii="Arial" w:cs="Arial" w:eastAsia="Arial" w:hAnsi="Arial"/>
          <w:color w:val="404040"/>
          <w:sz w:val="22"/>
          <w:szCs w:val="22"/>
        </w:rPr>
        <w:t xml:space="preserve">Données en transit - Encryption TLS/SSL</w:t>
      </w:r>
    </w:p>
    <w:p>
      <w:pPr>
        <w:pStyle w:val="ListParagraph"/>
        <w:numPr>
          <w:ilvl w:val="0"/>
          <w:numId w:val="2"/>
        </w:numPr>
      </w:pPr>
      <w:r>
        <w:rPr>
          <w:rFonts w:ascii="Arial" w:cs="Arial" w:eastAsia="Arial" w:hAnsi="Arial"/>
          <w:color w:val="404040"/>
          <w:sz w:val="22"/>
          <w:szCs w:val="22"/>
        </w:rPr>
        <w:t xml:space="preserve">Données au repos - Encryption des disques/bases de données</w:t>
      </w:r>
    </w:p>
    <w:p>
      <w:pPr>
        <w:pStyle w:val="ListParagraph"/>
        <w:numPr>
          <w:ilvl w:val="0"/>
          <w:numId w:val="2"/>
        </w:numPr>
      </w:pPr>
      <w:r>
        <w:rPr>
          <w:rFonts w:ascii="Arial" w:cs="Arial" w:eastAsia="Arial" w:hAnsi="Arial"/>
          <w:color w:val="404040"/>
          <w:sz w:val="22"/>
          <w:szCs w:val="22"/>
        </w:rPr>
        <w:t xml:space="preserve">Contrôle d'acces - Authentification et authorisation</w:t>
      </w:r>
    </w:p>
    <w:p>
      <w:pPr>
        <w:pStyle w:val="ListParagraph"/>
        <w:numPr>
          <w:ilvl w:val="0"/>
          <w:numId w:val="2"/>
        </w:numPr>
      </w:pPr>
      <w:r>
        <w:rPr>
          <w:rFonts w:ascii="Arial" w:cs="Arial" w:eastAsia="Arial" w:hAnsi="Arial"/>
          <w:color w:val="404040"/>
          <w:sz w:val="22"/>
          <w:szCs w:val="22"/>
        </w:rPr>
        <w:t xml:space="preserve">Audit et logging - Traçabilite des acces et operations</w:t>
      </w:r>
    </w:p>
    <w:p>
      <w:pPr>
        <w:pStyle w:val="ListParagraph"/>
        <w:numPr>
          <w:ilvl w:val="0"/>
          <w:numId w:val="2"/>
        </w:numPr>
      </w:pPr>
      <w:r>
        <w:rPr>
          <w:rFonts w:ascii="Arial" w:cs="Arial" w:eastAsia="Arial" w:hAnsi="Arial"/>
          <w:color w:val="404040"/>
          <w:sz w:val="22"/>
          <w:szCs w:val="22"/>
        </w:rPr>
        <w:t xml:space="preserve">Données personnelles - Conformité Loi 25</w:t>
      </w:r>
    </w:p>
    <w:p>
      <w:pPr>
        <w:spacing w:before="200"/>
      </w:pPr>
    </w:p>
    <w:p>
      <w:pPr>
        <w:pStyle w:val="Heading2"/>
      </w:pPr>
      <w:r>
        <w:t xml:space="preserve">Sécurité du modèle</w:t>
      </w:r>
    </w:p>
    <w:p>
      <w:r>
        <w:rPr>
          <w:rFonts w:ascii="Arial" w:cs="Arial" w:eastAsia="Arial" w:hAnsi="Arial"/>
          <w:color w:val="404040"/>
          <w:sz w:val="22"/>
          <w:szCs w:val="22"/>
        </w:rPr>
        <w:t xml:space="preserve">Protection contre les menaces au modèle :</w:t>
      </w:r>
    </w:p>
    <w:p>
      <w:pPr>
        <w:pStyle w:val="ListParagraph"/>
        <w:numPr>
          <w:ilvl w:val="0"/>
          <w:numId w:val="3"/>
        </w:numPr>
      </w:pPr>
      <w:r>
        <w:rPr>
          <w:rFonts w:ascii="Arial" w:cs="Arial" w:eastAsia="Arial" w:hAnsi="Arial"/>
          <w:color w:val="404040"/>
          <w:sz w:val="22"/>
          <w:szCs w:val="22"/>
        </w:rPr>
        <w:t xml:space="preserve">Acces contrôle - Qui peut deployer ou modifier le modèle</w:t>
      </w:r>
    </w:p>
    <w:p>
      <w:pPr>
        <w:pStyle w:val="ListParagraph"/>
        <w:numPr>
          <w:ilvl w:val="0"/>
          <w:numId w:val="3"/>
        </w:numPr>
      </w:pPr>
      <w:r>
        <w:rPr>
          <w:rFonts w:ascii="Arial" w:cs="Arial" w:eastAsia="Arial" w:hAnsi="Arial"/>
          <w:color w:val="404040"/>
          <w:sz w:val="22"/>
          <w:szCs w:val="22"/>
        </w:rPr>
        <w:t xml:space="preserve">Versioning et integrity - Verification de l'intégrité du code</w:t>
      </w:r>
    </w:p>
    <w:p>
      <w:pPr>
        <w:pStyle w:val="ListParagraph"/>
        <w:numPr>
          <w:ilvl w:val="0"/>
          <w:numId w:val="3"/>
        </w:numPr>
      </w:pPr>
      <w:r>
        <w:rPr>
          <w:rFonts w:ascii="Arial" w:cs="Arial" w:eastAsia="Arial" w:hAnsi="Arial"/>
          <w:color w:val="404040"/>
          <w:sz w:val="22"/>
          <w:szCs w:val="22"/>
        </w:rPr>
        <w:t xml:space="preserve">Protection contre adversarial attacks - Données conçues pour tromper le modèle</w:t>
      </w:r>
    </w:p>
    <w:p>
      <w:pPr>
        <w:pStyle w:val="ListParagraph"/>
        <w:numPr>
          <w:ilvl w:val="0"/>
          <w:numId w:val="3"/>
        </w:numPr>
      </w:pPr>
      <w:r>
        <w:rPr>
          <w:rFonts w:ascii="Arial" w:cs="Arial" w:eastAsia="Arial" w:hAnsi="Arial"/>
          <w:color w:val="404040"/>
          <w:sz w:val="22"/>
          <w:szCs w:val="22"/>
        </w:rPr>
        <w:t xml:space="preserve">Monitoring des anomalies - Detection des utilisations anormales</w:t>
      </w:r>
    </w:p>
    <w:p>
      <w:pPr>
        <w:pStyle w:val="ListParagraph"/>
        <w:numPr>
          <w:ilvl w:val="0"/>
          <w:numId w:val="3"/>
        </w:numPr>
      </w:pPr>
      <w:r>
        <w:rPr>
          <w:rFonts w:ascii="Arial" w:cs="Arial" w:eastAsia="Arial" w:hAnsi="Arial"/>
          <w:color w:val="404040"/>
          <w:sz w:val="22"/>
          <w:szCs w:val="22"/>
        </w:rPr>
        <w:t xml:space="preserve">Logging des décisions - Traçabilite pour audit</w:t>
      </w:r>
    </w:p>
    <w:p>
      <w:pPr>
        <w:spacing w:before="200"/>
      </w:pPr>
    </w:p>
    <w:p>
      <w:pPr>
        <w:pStyle w:val="Heading1"/>
      </w:pPr>
      <w:r>
        <w:t xml:space="preserve">Performance et scalabilite</w:t>
      </w:r>
    </w:p>
    <w:p>
      <w:r>
        <w:rPr>
          <w:rFonts w:ascii="Arial" w:cs="Arial" w:eastAsia="Arial" w:hAnsi="Arial"/>
          <w:color w:val="404040"/>
          <w:sz w:val="22"/>
          <w:szCs w:val="22"/>
        </w:rPr>
        <w:t xml:space="preserve">Caracteristiques de performance du systeme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Valeur</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Latence (p95)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[DUREE]ms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de reponse pour 95% des requetes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Throughput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req/sec</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requetes traitées par seconde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[POURCENTAGE]%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temps en ligne (SLA cible)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par requete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infrastructure par prediction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Capacite maximale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req/sec</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Charge maximale soutenable</w:t>
            </w:r>
          </w:p>
        </w:tc>
      </w:tr>
    </w:tbl>
    <w:p>
      <w:pPr>
        <w:spacing w:before="200"/>
      </w:pPr>
    </w:p>
    <w:p>
      <w:pPr>
        <w:pStyle w:val="Heading1"/>
      </w:pPr>
      <w:r>
        <w:t xml:space="preserve">Monitoring et alertes</w:t>
      </w:r>
    </w:p>
    <w:p>
      <w:r>
        <w:rPr>
          <w:rFonts w:ascii="Arial" w:cs="Arial" w:eastAsia="Arial" w:hAnsi="Arial"/>
          <w:color w:val="404040"/>
          <w:sz w:val="22"/>
          <w:szCs w:val="22"/>
        </w:rPr>
        <w:t xml:space="preserve">Systemes de monitoring en place :</w:t>
      </w:r>
    </w:p>
    <w:p>
      <w:pPr>
        <w:pStyle w:val="ListParagraph"/>
        <w:numPr>
          <w:ilvl w:val="0"/>
          <w:numId w:val="2"/>
        </w:numPr>
      </w:pPr>
      <w:r>
        <w:rPr>
          <w:rFonts w:ascii="Arial" w:cs="Arial" w:eastAsia="Arial" w:hAnsi="Arial"/>
          <w:color w:val="404040"/>
          <w:sz w:val="22"/>
          <w:szCs w:val="22"/>
        </w:rPr>
        <w:t xml:space="preserve">Metriques collectees (performance, erreurs, latence, utilisation ressources)</w:t>
      </w:r>
    </w:p>
    <w:p>
      <w:pPr>
        <w:pStyle w:val="ListParagraph"/>
        <w:numPr>
          <w:ilvl w:val="0"/>
          <w:numId w:val="2"/>
        </w:numPr>
      </w:pPr>
      <w:r>
        <w:rPr>
          <w:rFonts w:ascii="Arial" w:cs="Arial" w:eastAsia="Arial" w:hAnsi="Arial"/>
          <w:color w:val="404040"/>
          <w:sz w:val="22"/>
          <w:szCs w:val="22"/>
        </w:rPr>
        <w:t xml:space="preserve">Outils de monitoring (Prometheus, DataDog, CloudWatch, etc.)</w:t>
      </w:r>
    </w:p>
    <w:p>
      <w:pPr>
        <w:pStyle w:val="ListParagraph"/>
        <w:numPr>
          <w:ilvl w:val="0"/>
          <w:numId w:val="2"/>
        </w:numPr>
      </w:pPr>
      <w:r>
        <w:rPr>
          <w:rFonts w:ascii="Arial" w:cs="Arial" w:eastAsia="Arial" w:hAnsi="Arial"/>
          <w:color w:val="404040"/>
          <w:sz w:val="22"/>
          <w:szCs w:val="22"/>
        </w:rPr>
        <w:t xml:space="preserve">Tableaux de bord et visualisations</w:t>
      </w:r>
    </w:p>
    <w:p>
      <w:pPr>
        <w:pStyle w:val="ListParagraph"/>
        <w:numPr>
          <w:ilvl w:val="0"/>
          <w:numId w:val="2"/>
        </w:numPr>
      </w:pPr>
      <w:r>
        <w:rPr>
          <w:rFonts w:ascii="Arial" w:cs="Arial" w:eastAsia="Arial" w:hAnsi="Arial"/>
          <w:color w:val="404040"/>
          <w:sz w:val="22"/>
          <w:szCs w:val="22"/>
        </w:rPr>
        <w:t xml:space="preserve">Alertes declechees si seuils depasses</w:t>
      </w:r>
    </w:p>
    <w:p>
      <w:pPr>
        <w:pStyle w:val="ListParagraph"/>
        <w:numPr>
          <w:ilvl w:val="0"/>
          <w:numId w:val="2"/>
        </w:numPr>
      </w:pPr>
      <w:r>
        <w:rPr>
          <w:rFonts w:ascii="Arial" w:cs="Arial" w:eastAsia="Arial" w:hAnsi="Arial"/>
          <w:color w:val="404040"/>
          <w:sz w:val="22"/>
          <w:szCs w:val="22"/>
        </w:rPr>
        <w:t xml:space="preserve">Procédures d'escalade en cas d'incident</w:t>
      </w:r>
    </w:p>
    <w:p>
      <w:pPr>
        <w:spacing w:before="200"/>
      </w:pPr>
    </w:p>
    <w:p>
      <w:pPr>
        <w:pStyle w:val="Heading1"/>
      </w:pPr>
      <w:r>
        <w:t xml:space="preserve">Maintenance et evolution</w:t>
      </w:r>
    </w:p>
    <w:p>
      <w:r>
        <w:rPr>
          <w:rFonts w:ascii="Arial" w:cs="Arial" w:eastAsia="Arial" w:hAnsi="Arial"/>
          <w:color w:val="404040"/>
          <w:sz w:val="22"/>
          <w:szCs w:val="22"/>
        </w:rPr>
        <w:t xml:space="preserve">Procèssus de maintenance et de mise a jour :</w:t>
      </w:r>
    </w:p>
    <w:p>
      <w:pPr>
        <w:pStyle w:val="ListParagraph"/>
        <w:numPr>
          <w:ilvl w:val="0"/>
          <w:numId w:val="3"/>
        </w:numPr>
      </w:pPr>
      <w:r>
        <w:rPr>
          <w:rFonts w:ascii="Arial" w:cs="Arial" w:eastAsia="Arial" w:hAnsi="Arial"/>
          <w:color w:val="404040"/>
          <w:sz w:val="22"/>
          <w:szCs w:val="22"/>
        </w:rPr>
        <w:t xml:space="preserve">Patches de sécurité - Frequence et procédure</w:t>
      </w:r>
    </w:p>
    <w:p>
      <w:pPr>
        <w:pStyle w:val="ListParagraph"/>
        <w:numPr>
          <w:ilvl w:val="0"/>
          <w:numId w:val="3"/>
        </w:numPr>
      </w:pPr>
      <w:r>
        <w:rPr>
          <w:rFonts w:ascii="Arial" w:cs="Arial" w:eastAsia="Arial" w:hAnsi="Arial"/>
          <w:color w:val="404040"/>
          <w:sz w:val="22"/>
          <w:szCs w:val="22"/>
        </w:rPr>
        <w:t xml:space="preserve">Updates des dépendances - Quand et comment mettre a jour</w:t>
      </w:r>
    </w:p>
    <w:p>
      <w:pPr>
        <w:pStyle w:val="ListParagraph"/>
        <w:numPr>
          <w:ilvl w:val="0"/>
          <w:numId w:val="3"/>
        </w:numPr>
      </w:pPr>
      <w:r>
        <w:rPr>
          <w:rFonts w:ascii="Arial" w:cs="Arial" w:eastAsia="Arial" w:hAnsi="Arial"/>
          <w:color w:val="404040"/>
          <w:sz w:val="22"/>
          <w:szCs w:val="22"/>
        </w:rPr>
        <w:t xml:space="preserve">Re-entrainement - Calendrier et procèssus</w:t>
      </w:r>
    </w:p>
    <w:p>
      <w:pPr>
        <w:pStyle w:val="ListParagraph"/>
        <w:numPr>
          <w:ilvl w:val="0"/>
          <w:numId w:val="3"/>
        </w:numPr>
      </w:pPr>
      <w:r>
        <w:rPr>
          <w:rFonts w:ascii="Arial" w:cs="Arial" w:eastAsia="Arial" w:hAnsi="Arial"/>
          <w:color w:val="404040"/>
          <w:sz w:val="22"/>
          <w:szCs w:val="22"/>
        </w:rPr>
        <w:t xml:space="preserve">Versioning - Stratégie de gestion des versions</w:t>
      </w:r>
    </w:p>
    <w:p>
      <w:pPr>
        <w:pStyle w:val="ListParagraph"/>
        <w:numPr>
          <w:ilvl w:val="0"/>
          <w:numId w:val="3"/>
        </w:numPr>
      </w:pPr>
      <w:r>
        <w:rPr>
          <w:rFonts w:ascii="Arial" w:cs="Arial" w:eastAsia="Arial" w:hAnsi="Arial"/>
          <w:color w:val="404040"/>
          <w:sz w:val="22"/>
          <w:szCs w:val="22"/>
        </w:rPr>
        <w:t xml:space="preserve">Rollback procédures - Comment revenir a une version anterieure</w:t>
      </w:r>
    </w:p>
    <w:p>
      <w:pPr>
        <w:spacing w:before="200"/>
      </w:pPr>
    </w:p>
    <w:p>
      <w:pPr>
        <w:pStyle w:val="Heading1"/>
      </w:pPr>
      <w:r>
        <w:t xml:space="preserve">Documentation diagrammes</w:t>
      </w:r>
    </w:p>
    <w:p>
      <w:r>
        <w:rPr>
          <w:rFonts w:ascii="Arial" w:cs="Arial" w:eastAsia="Arial" w:hAnsi="Arial"/>
          <w:color w:val="404040"/>
          <w:sz w:val="22"/>
          <w:szCs w:val="22"/>
        </w:rPr>
        <w:t xml:space="preserve">Les diagrams suivants doivent etre produits et maintenues :</w:t>
      </w:r>
    </w:p>
    <w:p>
      <w:pPr>
        <w:pStyle w:val="ListParagraph"/>
        <w:numPr>
          <w:ilvl w:val="0"/>
          <w:numId w:val="2"/>
        </w:numPr>
      </w:pPr>
      <w:r>
        <w:rPr>
          <w:rFonts w:ascii="Arial" w:cs="Arial" w:eastAsia="Arial" w:hAnsi="Arial"/>
          <w:color w:val="404040"/>
          <w:sz w:val="22"/>
          <w:szCs w:val="22"/>
        </w:rPr>
        <w:t xml:space="preserve">Architecture globale - Vue d'ensemble des composants</w:t>
      </w:r>
    </w:p>
    <w:p>
      <w:pPr>
        <w:pStyle w:val="ListParagraph"/>
        <w:numPr>
          <w:ilvl w:val="0"/>
          <w:numId w:val="2"/>
        </w:numPr>
      </w:pPr>
      <w:r>
        <w:rPr>
          <w:rFonts w:ascii="Arial" w:cs="Arial" w:eastAsia="Arial" w:hAnsi="Arial"/>
          <w:color w:val="404040"/>
          <w:sz w:val="22"/>
          <w:szCs w:val="22"/>
        </w:rPr>
        <w:t xml:space="preserve">Flux de données - Mouvement des données entre composants</w:t>
      </w:r>
    </w:p>
    <w:p>
      <w:pPr>
        <w:pStyle w:val="ListParagraph"/>
        <w:numPr>
          <w:ilvl w:val="0"/>
          <w:numId w:val="2"/>
        </w:numPr>
      </w:pPr>
      <w:r>
        <w:rPr>
          <w:rFonts w:ascii="Arial" w:cs="Arial" w:eastAsia="Arial" w:hAnsi="Arial"/>
          <w:color w:val="404040"/>
          <w:sz w:val="22"/>
          <w:szCs w:val="22"/>
        </w:rPr>
        <w:t xml:space="preserve">Flux d'entrainement - Procèssus de dev/test/déploiement du modèle</w:t>
      </w:r>
    </w:p>
    <w:p>
      <w:pPr>
        <w:pStyle w:val="ListParagraph"/>
        <w:numPr>
          <w:ilvl w:val="0"/>
          <w:numId w:val="2"/>
        </w:numPr>
      </w:pPr>
      <w:r>
        <w:rPr>
          <w:rFonts w:ascii="Arial" w:cs="Arial" w:eastAsia="Arial" w:hAnsi="Arial"/>
          <w:color w:val="404040"/>
          <w:sz w:val="22"/>
          <w:szCs w:val="22"/>
        </w:rPr>
        <w:t xml:space="preserve">Infrastructure - Ressources cloud/on-prem utilisees</w:t>
      </w:r>
    </w:p>
    <w:p>
      <w:pPr>
        <w:pStyle w:val="ListParagraph"/>
        <w:numPr>
          <w:ilvl w:val="0"/>
          <w:numId w:val="2"/>
        </w:numPr>
      </w:pPr>
      <w:r>
        <w:rPr>
          <w:rFonts w:ascii="Arial" w:cs="Arial" w:eastAsia="Arial" w:hAnsi="Arial"/>
          <w:color w:val="404040"/>
          <w:sz w:val="22"/>
          <w:szCs w:val="22"/>
        </w:rPr>
        <w:t xml:space="preserve">Integrations - Systemes externes et interfaces</w:t>
      </w:r>
    </w:p>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apres changement majeur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Latence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entre la reception d'une requete et l'envoi de la reponse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Throughput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requetes traitées par unite de temps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Architecture Technique des Systemes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2026-03-05T02:24:50.232Z</dcterms:created>
  <dcterms:modified xsi:type="dcterms:W3CDTF">2026-03-05T02:24:50.232Z</dcterms:modified>
</cp:coreProperties>
</file>

<file path=docProps/custom.xml><?xml version="1.0" encoding="utf-8"?>
<Properties xmlns="http://schemas.openxmlformats.org/officeDocument/2006/custom-properties" xmlns:vt="http://schemas.openxmlformats.org/officeDocument/2006/docPropsVTypes"/>
</file>