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Guide sur les droits d'auteur et le contenu généré par IA</w:t>
      </w:r>
    </w:p>
    <w:p>
      <w:pPr>
        <w:spacing w:after="600"/>
        <w:jc w:val="center"/>
      </w:pPr>
      <w:r>
        <w:rPr>
          <w:rFonts w:ascii="Arial" w:cs="Arial" w:eastAsia="Arial" w:hAnsi="Arial"/>
          <w:color w:val="2E75B6"/>
          <w:sz w:val="24"/>
          <w:szCs w:val="24"/>
        </w:rPr>
        <w:t xml:space="preserve">Enjeux juridiques, responsabilités et directives pratiques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Loi sur le droit d'auteur du Canada (L.R.C. 1985, c. C-42)</w:t>
      </w:r>
    </w:p>
    <w:p>
      <w:pPr>
        <w:pStyle w:val="ListParagraph"/>
        <w:numPr>
          <w:ilvl w:val="0"/>
          <w:numId w:val="2"/>
        </w:numPr>
      </w:pPr>
      <w:r>
        <w:rPr>
          <w:rFonts w:ascii="Arial" w:cs="Arial" w:eastAsia="Arial" w:hAnsi="Arial"/>
          <w:color w:val="404040"/>
          <w:sz w:val="22"/>
          <w:szCs w:val="22"/>
        </w:rPr>
        <w:t xml:space="preserve">Convention de Berne pour la protection des oeuvres litteraires et artistiques</w:t>
      </w:r>
    </w:p>
    <w:p>
      <w:pPr>
        <w:pStyle w:val="ListParagraph"/>
        <w:numPr>
          <w:ilvl w:val="0"/>
          <w:numId w:val="2"/>
        </w:numPr>
      </w:pPr>
      <w:r>
        <w:rPr>
          <w:rFonts w:ascii="Arial" w:cs="Arial" w:eastAsia="Arial" w:hAnsi="Arial"/>
          <w:color w:val="404040"/>
          <w:sz w:val="22"/>
          <w:szCs w:val="22"/>
        </w:rPr>
        <w:t xml:space="preserve">Traité de l'OMPI sur le droit d'auteur (WCT) - 1996</w:t>
      </w:r>
    </w:p>
    <w:p>
      <w:pPr>
        <w:pStyle w:val="ListParagraph"/>
        <w:numPr>
          <w:ilvl w:val="0"/>
          <w:numId w:val="2"/>
        </w:numPr>
      </w:pPr>
      <w:r>
        <w:rPr>
          <w:rFonts w:ascii="Arial" w:cs="Arial" w:eastAsia="Arial" w:hAnsi="Arial"/>
          <w:color w:val="404040"/>
          <w:sz w:val="22"/>
          <w:szCs w:val="22"/>
        </w:rPr>
        <w:t xml:space="preserve">Accord TRIPS (Aspects des droits de propriété intellectuelle qui touchent au commerce)</w:t>
      </w:r>
    </w:p>
    <w:p>
      <w:pPr>
        <w:pStyle w:val="ListParagraph"/>
        <w:numPr>
          <w:ilvl w:val="0"/>
          <w:numId w:val="2"/>
        </w:numPr>
      </w:pPr>
      <w:r>
        <w:rPr>
          <w:rFonts w:ascii="Arial" w:cs="Arial" w:eastAsia="Arial" w:hAnsi="Arial"/>
          <w:color w:val="404040"/>
          <w:sz w:val="22"/>
          <w:szCs w:val="22"/>
        </w:rPr>
        <w:t xml:space="preserve">Code civil du Québec - Articles relatifs aux droits d'auteur</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portee</w:t>
      </w:r>
    </w:p>
    <w:p>
      <w:r>
        <w:rPr>
          <w:rFonts w:ascii="Arial" w:cs="Arial" w:eastAsia="Arial" w:hAnsi="Arial"/>
          <w:color w:val="404040"/>
          <w:sz w:val="22"/>
          <w:szCs w:val="22"/>
        </w:rPr>
        <w:t xml:space="preserve">Le present guide clarifie les enjeux de droit d'auteur particuliers au contexte de l'intelligence artificielle générative pour [NOM_ORGANISATION]. Il s'adresse aux employes, gestionnaires et partenaires impliques dans l'utilisation ou le déploiement de systèmes d'IA générative.</w:t>
      </w:r>
    </w:p>
    <w:p>
      <w:pPr>
        <w:pStyle w:val="Heading2"/>
      </w:pPr>
      <w:r>
        <w:t xml:space="preserve">Objectifs du guide</w:t>
      </w:r>
    </w:p>
    <w:p>
      <w:pPr>
        <w:pStyle w:val="ListParagraph"/>
        <w:numPr>
          <w:ilvl w:val="0"/>
          <w:numId w:val="2"/>
        </w:numPr>
      </w:pPr>
      <w:r>
        <w:rPr>
          <w:rFonts w:ascii="Arial" w:cs="Arial" w:eastAsia="Arial" w:hAnsi="Arial"/>
          <w:color w:val="404040"/>
          <w:sz w:val="22"/>
          <w:szCs w:val="22"/>
        </w:rPr>
        <w:t xml:space="preserve">Expliquer les principes fondamentaux du droit d'auteur au Canada</w:t>
      </w:r>
    </w:p>
    <w:p>
      <w:pPr>
        <w:pStyle w:val="ListParagraph"/>
        <w:numPr>
          <w:ilvl w:val="0"/>
          <w:numId w:val="2"/>
        </w:numPr>
      </w:pPr>
      <w:r>
        <w:rPr>
          <w:rFonts w:ascii="Arial" w:cs="Arial" w:eastAsia="Arial" w:hAnsi="Arial"/>
          <w:color w:val="404040"/>
          <w:sz w:val="22"/>
          <w:szCs w:val="22"/>
        </w:rPr>
        <w:t xml:space="preserve">Clarifier comment les droits d'auteur s'appliquent aux sorties de systèmes d'IA générative</w:t>
      </w:r>
    </w:p>
    <w:p>
      <w:pPr>
        <w:pStyle w:val="ListParagraph"/>
        <w:numPr>
          <w:ilvl w:val="0"/>
          <w:numId w:val="2"/>
        </w:numPr>
      </w:pPr>
      <w:r>
        <w:rPr>
          <w:rFonts w:ascii="Arial" w:cs="Arial" w:eastAsia="Arial" w:hAnsi="Arial"/>
          <w:color w:val="404040"/>
          <w:sz w:val="22"/>
          <w:szCs w:val="22"/>
        </w:rPr>
        <w:t xml:space="preserve">Definir les responsabilités de [NOM_ORGANISATION] en tant qu'utilisatrice d'outils d'IA</w:t>
      </w:r>
    </w:p>
    <w:p>
      <w:pPr>
        <w:pStyle w:val="ListParagraph"/>
        <w:numPr>
          <w:ilvl w:val="0"/>
          <w:numId w:val="2"/>
        </w:numPr>
      </w:pPr>
      <w:r>
        <w:rPr>
          <w:rFonts w:ascii="Arial" w:cs="Arial" w:eastAsia="Arial" w:hAnsi="Arial"/>
          <w:color w:val="404040"/>
          <w:sz w:val="22"/>
          <w:szCs w:val="22"/>
        </w:rPr>
        <w:t xml:space="preserve">Fournir des directives pratiques pour l'utilisation responsable de l'IA générative</w:t>
      </w:r>
    </w:p>
    <w:p>
      <w:pPr>
        <w:pStyle w:val="ListParagraph"/>
        <w:numPr>
          <w:ilvl w:val="0"/>
          <w:numId w:val="2"/>
        </w:numPr>
      </w:pPr>
      <w:r>
        <w:rPr>
          <w:rFonts w:ascii="Arial" w:cs="Arial" w:eastAsia="Arial" w:hAnsi="Arial"/>
          <w:color w:val="404040"/>
          <w:sz w:val="22"/>
          <w:szCs w:val="22"/>
        </w:rPr>
        <w:t xml:space="preserve">Identifiér les risques juridiques lies aux violations de droits d'auteur</w:t>
      </w:r>
    </w:p>
    <w:p>
      <w:pPr>
        <w:pStyle w:val="ListParagraph"/>
        <w:numPr>
          <w:ilvl w:val="0"/>
          <w:numId w:val="2"/>
        </w:numPr>
      </w:pPr>
      <w:r>
        <w:rPr>
          <w:rFonts w:ascii="Arial" w:cs="Arial" w:eastAsia="Arial" w:hAnsi="Arial"/>
          <w:color w:val="404040"/>
          <w:sz w:val="22"/>
          <w:szCs w:val="22"/>
        </w:rPr>
        <w:t xml:space="preserve">Etablir des mecanismes de conformité et de signalement</w:t>
      </w:r>
    </w:p>
    <w:p>
      <w:pPr>
        <w:pStyle w:val="Heading1"/>
      </w:pPr>
      <w:r>
        <w:t xml:space="preserve">Droit d'auteur au Canada : principes generaux</w:t>
      </w:r>
    </w:p>
    <w:p>
      <w:pPr>
        <w:pStyle w:val="Heading2"/>
      </w:pPr>
      <w:r>
        <w:t xml:space="preserve">Definition et champ d'application</w:t>
      </w:r>
    </w:p>
    <w:p>
      <w:r>
        <w:rPr>
          <w:rFonts w:ascii="Arial" w:cs="Arial" w:eastAsia="Arial" w:hAnsi="Arial"/>
          <w:color w:val="404040"/>
          <w:sz w:val="22"/>
          <w:szCs w:val="22"/>
        </w:rPr>
        <w:t xml:space="preserve">Le droit d'auteur est le droit exclusif de reproduction, de publication et de performance d'une oeuvre originale. Au Canada, le droit d'auteur couvre :</w:t>
      </w:r>
    </w:p>
    <w:p>
      <w:pPr>
        <w:pStyle w:val="ListParagraph"/>
        <w:numPr>
          <w:ilvl w:val="0"/>
          <w:numId w:val="2"/>
        </w:numPr>
      </w:pPr>
      <w:r>
        <w:rPr>
          <w:rFonts w:ascii="Arial" w:cs="Arial" w:eastAsia="Arial" w:hAnsi="Arial"/>
          <w:color w:val="404040"/>
          <w:sz w:val="22"/>
          <w:szCs w:val="22"/>
        </w:rPr>
        <w:t xml:space="preserve">Oeuvres litteraires (y compris les programmes informatiques)</w:t>
      </w:r>
    </w:p>
    <w:p>
      <w:pPr>
        <w:pStyle w:val="ListParagraph"/>
        <w:numPr>
          <w:ilvl w:val="0"/>
          <w:numId w:val="2"/>
        </w:numPr>
      </w:pPr>
      <w:r>
        <w:rPr>
          <w:rFonts w:ascii="Arial" w:cs="Arial" w:eastAsia="Arial" w:hAnsi="Arial"/>
          <w:color w:val="404040"/>
          <w:sz w:val="22"/>
          <w:szCs w:val="22"/>
        </w:rPr>
        <w:t xml:space="preserve">Oeuvres dramatiques et choregraphiques</w:t>
      </w:r>
    </w:p>
    <w:p>
      <w:pPr>
        <w:pStyle w:val="ListParagraph"/>
        <w:numPr>
          <w:ilvl w:val="0"/>
          <w:numId w:val="2"/>
        </w:numPr>
      </w:pPr>
      <w:r>
        <w:rPr>
          <w:rFonts w:ascii="Arial" w:cs="Arial" w:eastAsia="Arial" w:hAnsi="Arial"/>
          <w:color w:val="404040"/>
          <w:sz w:val="22"/>
          <w:szCs w:val="22"/>
        </w:rPr>
        <w:t xml:space="preserve">Oeuvres musicales</w:t>
      </w:r>
    </w:p>
    <w:p>
      <w:pPr>
        <w:pStyle w:val="ListParagraph"/>
        <w:numPr>
          <w:ilvl w:val="0"/>
          <w:numId w:val="2"/>
        </w:numPr>
      </w:pPr>
      <w:r>
        <w:rPr>
          <w:rFonts w:ascii="Arial" w:cs="Arial" w:eastAsia="Arial" w:hAnsi="Arial"/>
          <w:color w:val="404040"/>
          <w:sz w:val="22"/>
          <w:szCs w:val="22"/>
        </w:rPr>
        <w:t xml:space="preserve">Oeuvres artistiques (dessins, peintures, sculptures, photos)</w:t>
      </w:r>
    </w:p>
    <w:p>
      <w:pPr>
        <w:pStyle w:val="ListParagraph"/>
        <w:numPr>
          <w:ilvl w:val="0"/>
          <w:numId w:val="2"/>
        </w:numPr>
      </w:pPr>
      <w:r>
        <w:rPr>
          <w:rFonts w:ascii="Arial" w:cs="Arial" w:eastAsia="Arial" w:hAnsi="Arial"/>
          <w:color w:val="404040"/>
          <w:sz w:val="22"/>
          <w:szCs w:val="22"/>
        </w:rPr>
        <w:t xml:space="preserve">Oeuvres cinematographiques</w:t>
      </w:r>
    </w:p>
    <w:p>
      <w:pPr>
        <w:pStyle w:val="ListParagraph"/>
        <w:numPr>
          <w:ilvl w:val="0"/>
          <w:numId w:val="2"/>
        </w:numPr>
      </w:pPr>
      <w:r>
        <w:rPr>
          <w:rFonts w:ascii="Arial" w:cs="Arial" w:eastAsia="Arial" w:hAnsi="Arial"/>
          <w:color w:val="404040"/>
          <w:sz w:val="22"/>
          <w:szCs w:val="22"/>
        </w:rPr>
        <w:t xml:space="preserve">Recueils (compilations de données ou d'informations)</w:t>
      </w:r>
    </w:p>
    <w:p>
      <w:pPr>
        <w:pStyle w:val="Heading2"/>
      </w:pPr>
      <w:r>
        <w:t xml:space="preserve">Titulaires de droits d'auteur</w:t>
      </w:r>
    </w:p>
    <w:p>
      <w:r>
        <w:rPr>
          <w:rFonts w:ascii="Arial" w:cs="Arial" w:eastAsia="Arial" w:hAnsi="Arial"/>
          <w:color w:val="404040"/>
          <w:sz w:val="22"/>
          <w:szCs w:val="22"/>
        </w:rPr>
        <w:t xml:space="preserve">Selon la Loi sur le droit d'auteur du Canada, l'auteur d'une oeuvre est le premier titulaire du droit d'auteur. Toutefois :</w:t>
      </w:r>
    </w:p>
    <w:p>
      <w:pPr>
        <w:pStyle w:val="ListParagraph"/>
        <w:numPr>
          <w:ilvl w:val="0"/>
          <w:numId w:val="2"/>
        </w:numPr>
      </w:pPr>
      <w:r>
        <w:rPr>
          <w:rFonts w:ascii="Arial" w:cs="Arial" w:eastAsia="Arial" w:hAnsi="Arial"/>
          <w:color w:val="404040"/>
          <w:sz w:val="22"/>
          <w:szCs w:val="22"/>
        </w:rPr>
        <w:t xml:space="preserve">Si une oeuvre est creee par un employe dans le cadre de son emploi, l'employeur est propriétaire du droit d'auteur</w:t>
      </w:r>
    </w:p>
    <w:p>
      <w:pPr>
        <w:pStyle w:val="ListParagraph"/>
        <w:numPr>
          <w:ilvl w:val="0"/>
          <w:numId w:val="2"/>
        </w:numPr>
      </w:pPr>
      <w:r>
        <w:rPr>
          <w:rFonts w:ascii="Arial" w:cs="Arial" w:eastAsia="Arial" w:hAnsi="Arial"/>
          <w:color w:val="404040"/>
          <w:sz w:val="22"/>
          <w:szCs w:val="22"/>
        </w:rPr>
        <w:t xml:space="preserve">Si une oeuvre est commandee et payee, le commanditaire peut etre propriétaire selon les modalites du contrat</w:t>
      </w:r>
    </w:p>
    <w:p>
      <w:pPr>
        <w:pStyle w:val="ListParagraph"/>
        <w:numPr>
          <w:ilvl w:val="0"/>
          <w:numId w:val="2"/>
        </w:numPr>
      </w:pPr>
      <w:r>
        <w:rPr>
          <w:rFonts w:ascii="Arial" w:cs="Arial" w:eastAsia="Arial" w:hAnsi="Arial"/>
          <w:color w:val="404040"/>
          <w:sz w:val="22"/>
          <w:szCs w:val="22"/>
        </w:rPr>
        <w:t xml:space="preserve">Un auteur peut ceder son droit d'auteur a une autre personne par ecrit</w:t>
      </w:r>
    </w:p>
    <w:p>
      <w:pPr>
        <w:pStyle w:val="ListParagraph"/>
        <w:numPr>
          <w:ilvl w:val="0"/>
          <w:numId w:val="2"/>
        </w:numPr>
      </w:pPr>
      <w:r>
        <w:rPr>
          <w:rFonts w:ascii="Arial" w:cs="Arial" w:eastAsia="Arial" w:hAnsi="Arial"/>
          <w:color w:val="404040"/>
          <w:sz w:val="22"/>
          <w:szCs w:val="22"/>
        </w:rPr>
        <w:t xml:space="preserve">Les droits moraux restent avec l'auteur original, meme apres la cession du droit d'auteur</w:t>
      </w:r>
    </w:p>
    <w:p>
      <w:pPr>
        <w:pStyle w:val="Heading2"/>
      </w:pPr>
      <w:r>
        <w:t xml:space="preserve">Duree du droit d'auteur</w:t>
      </w:r>
    </w:p>
    <w:p>
      <w:r>
        <w:rPr>
          <w:rFonts w:ascii="Arial" w:cs="Arial" w:eastAsia="Arial" w:hAnsi="Arial"/>
          <w:color w:val="404040"/>
          <w:sz w:val="22"/>
          <w:szCs w:val="22"/>
        </w:rPr>
        <w:t xml:space="preserve">Au Canada, le droit d'auteur dure generalement pour la vie de l'auteur plus 70 ans. Pour les oeuvres publiees anonymement, la protection dure 70 ans apres la premiere publication. Les droits moraux durent pour la vie de l'auteur.</w:t>
      </w:r>
    </w:p>
    <w:p>
      <w:pPr>
        <w:pStyle w:val="Heading1"/>
      </w:pPr>
      <w:r>
        <w:t xml:space="preserve">Contenu généré par des systèmes d'IA générative : enjeux juridiques</w:t>
      </w:r>
    </w:p>
    <w:p>
      <w:pPr>
        <w:pStyle w:val="Heading2"/>
      </w:pPr>
      <w:r>
        <w:t xml:space="preserve">Question fondamentale : l'IA peut-elle etre auteur ?</w:t>
      </w:r>
    </w:p>
    <w:p>
      <w:r>
        <w:rPr>
          <w:rFonts w:ascii="Arial" w:cs="Arial" w:eastAsia="Arial" w:hAnsi="Arial"/>
          <w:color w:val="404040"/>
          <w:sz w:val="22"/>
          <w:szCs w:val="22"/>
        </w:rPr>
        <w:t xml:space="preserve">Selon la jurisprudence et la Loi sur le droit d'auteur du Canada, l'auteur d'une oeuvre doit etre une personne humaine. Un systeme d'IA ne peut pas etre reconnu comme auteur ou titulaire de droits d'auteur.</w:t>
      </w:r>
    </w:p>
    <w:p>
      <w:pPr>
        <w:pStyle w:val="Heading2"/>
      </w:pPr>
      <w:r>
        <w:t xml:space="preserve">Doctrine de l'auteur humain</w:t>
      </w:r>
    </w:p>
    <w:p>
      <w:r>
        <w:rPr>
          <w:rFonts w:ascii="Arial" w:cs="Arial" w:eastAsia="Arial" w:hAnsi="Arial"/>
          <w:color w:val="404040"/>
          <w:sz w:val="22"/>
          <w:szCs w:val="22"/>
        </w:rPr>
        <w:t xml:space="preserve">Les tribunaux canadiens ont generalement applique une doctrine de l'auteur humain :</w:t>
      </w:r>
    </w:p>
    <w:p>
      <w:pPr>
        <w:pStyle w:val="ListParagraph"/>
        <w:numPr>
          <w:ilvl w:val="0"/>
          <w:numId w:val="3"/>
        </w:numPr>
      </w:pPr>
      <w:r>
        <w:rPr>
          <w:rFonts w:ascii="Arial" w:cs="Arial" w:eastAsia="Arial" w:hAnsi="Arial"/>
          <w:color w:val="404040"/>
          <w:sz w:val="22"/>
          <w:szCs w:val="22"/>
        </w:rPr>
        <w:t xml:space="preserve">Le contenu doit etre le resultat d'une creation humaine suffisante</w:t>
      </w:r>
    </w:p>
    <w:p>
      <w:pPr>
        <w:pStyle w:val="ListParagraph"/>
        <w:numPr>
          <w:ilvl w:val="0"/>
          <w:numId w:val="3"/>
        </w:numPr>
      </w:pPr>
      <w:r>
        <w:rPr>
          <w:rFonts w:ascii="Arial" w:cs="Arial" w:eastAsia="Arial" w:hAnsi="Arial"/>
          <w:color w:val="404040"/>
          <w:sz w:val="22"/>
          <w:szCs w:val="22"/>
        </w:rPr>
        <w:t xml:space="preserve">Si une machine produit du contenu sans direction humaine, ce contenu n'est pas copyrightable</w:t>
      </w:r>
    </w:p>
    <w:p>
      <w:pPr>
        <w:pStyle w:val="ListParagraph"/>
        <w:numPr>
          <w:ilvl w:val="0"/>
          <w:numId w:val="3"/>
        </w:numPr>
      </w:pPr>
      <w:r>
        <w:rPr>
          <w:rFonts w:ascii="Arial" w:cs="Arial" w:eastAsia="Arial" w:hAnsi="Arial"/>
          <w:color w:val="404040"/>
          <w:sz w:val="22"/>
          <w:szCs w:val="22"/>
        </w:rPr>
        <w:t xml:space="preserve">Si une personne humaine a fourni des instructions significatives, cette personne peut etre l'auteur</w:t>
      </w:r>
    </w:p>
    <w:p>
      <w:pPr>
        <w:pStyle w:val="ListParagraph"/>
        <w:numPr>
          <w:ilvl w:val="0"/>
          <w:numId w:val="3"/>
        </w:numPr>
      </w:pPr>
      <w:r>
        <w:rPr>
          <w:rFonts w:ascii="Arial" w:cs="Arial" w:eastAsia="Arial" w:hAnsi="Arial"/>
          <w:color w:val="404040"/>
          <w:sz w:val="22"/>
          <w:szCs w:val="22"/>
        </w:rPr>
        <w:t xml:space="preserve">L'organisation qui emploie la personne peut detenir le droit d'auteur selon le contrat de travail</w:t>
      </w:r>
    </w:p>
    <w:p>
      <w:pPr>
        <w:pStyle w:val="Heading2"/>
      </w:pPr>
      <w:r>
        <w:t xml:space="preserve">Interventions humaines significatives</w:t>
      </w:r>
    </w:p>
    <w:p>
      <w:r>
        <w:rPr>
          <w:rFonts w:ascii="Arial" w:cs="Arial" w:eastAsia="Arial" w:hAnsi="Arial"/>
          <w:color w:val="404040"/>
          <w:sz w:val="22"/>
          <w:szCs w:val="22"/>
        </w:rPr>
        <w:t xml:space="preserve">[NOM_ORGANISATION] considere que les interventions suivantes constituent une creation humaine suffisante :</w:t>
      </w:r>
    </w:p>
    <w:p>
      <w:pPr>
        <w:pStyle w:val="ListParagraph"/>
        <w:numPr>
          <w:ilvl w:val="0"/>
          <w:numId w:val="2"/>
        </w:numPr>
      </w:pPr>
      <w:r>
        <w:rPr>
          <w:rFonts w:ascii="Arial" w:cs="Arial" w:eastAsia="Arial" w:hAnsi="Arial"/>
          <w:color w:val="404040"/>
          <w:sz w:val="22"/>
          <w:szCs w:val="22"/>
        </w:rPr>
        <w:t xml:space="preserve">Formulation de prompts precis et diriges pour produire un resultat spécifique</w:t>
      </w:r>
    </w:p>
    <w:p>
      <w:pPr>
        <w:pStyle w:val="ListParagraph"/>
        <w:numPr>
          <w:ilvl w:val="0"/>
          <w:numId w:val="2"/>
        </w:numPr>
      </w:pPr>
      <w:r>
        <w:rPr>
          <w:rFonts w:ascii="Arial" w:cs="Arial" w:eastAsia="Arial" w:hAnsi="Arial"/>
          <w:color w:val="404040"/>
          <w:sz w:val="22"/>
          <w:szCs w:val="22"/>
        </w:rPr>
        <w:t xml:space="preserve">Selection, révision, modification et amélioration du contenu généré</w:t>
      </w:r>
    </w:p>
    <w:p>
      <w:pPr>
        <w:pStyle w:val="ListParagraph"/>
        <w:numPr>
          <w:ilvl w:val="0"/>
          <w:numId w:val="2"/>
        </w:numPr>
      </w:pPr>
      <w:r>
        <w:rPr>
          <w:rFonts w:ascii="Arial" w:cs="Arial" w:eastAsia="Arial" w:hAnsi="Arial"/>
          <w:color w:val="404040"/>
          <w:sz w:val="22"/>
          <w:szCs w:val="22"/>
        </w:rPr>
        <w:t xml:space="preserve">Integration du contenu dans un contexte plus large</w:t>
      </w:r>
    </w:p>
    <w:p>
      <w:pPr>
        <w:pStyle w:val="ListParagraph"/>
        <w:numPr>
          <w:ilvl w:val="0"/>
          <w:numId w:val="2"/>
        </w:numPr>
      </w:pPr>
      <w:r>
        <w:rPr>
          <w:rFonts w:ascii="Arial" w:cs="Arial" w:eastAsia="Arial" w:hAnsi="Arial"/>
          <w:color w:val="404040"/>
          <w:sz w:val="22"/>
          <w:szCs w:val="22"/>
        </w:rPr>
        <w:t xml:space="preserve">Application de jugement createur et de discretion</w:t>
      </w:r>
    </w:p>
    <w:p>
      <w:pPr>
        <w:pStyle w:val="ListParagraph"/>
        <w:numPr>
          <w:ilvl w:val="0"/>
          <w:numId w:val="2"/>
        </w:numPr>
      </w:pPr>
      <w:r>
        <w:rPr>
          <w:rFonts w:ascii="Arial" w:cs="Arial" w:eastAsia="Arial" w:hAnsi="Arial"/>
          <w:color w:val="404040"/>
          <w:sz w:val="22"/>
          <w:szCs w:val="22"/>
        </w:rPr>
        <w:t xml:space="preserve">Acceptation de la responsabilité juridique pour le contenu final</w:t>
      </w:r>
    </w:p>
    <w:p>
      <w:pPr>
        <w:pStyle w:val="Heading1"/>
      </w:pPr>
      <w:r>
        <w:t xml:space="preserve">Utilisation de données protegees comme données d'entrainement</w:t>
      </w:r>
    </w:p>
    <w:p>
      <w:pPr>
        <w:pStyle w:val="Heading2"/>
      </w:pPr>
      <w:r>
        <w:t xml:space="preserve">Fair dealing : exception au droit d'auteur</w:t>
      </w:r>
    </w:p>
    <w:p>
      <w:r>
        <w:rPr>
          <w:rFonts w:ascii="Arial" w:cs="Arial" w:eastAsia="Arial" w:hAnsi="Arial"/>
          <w:color w:val="404040"/>
          <w:sz w:val="22"/>
          <w:szCs w:val="22"/>
        </w:rPr>
        <w:t xml:space="preserve">La Loi sur le droit d'auteur du Canada prevoit une exception de fair dealing permettant l'utilisation d'une oeuvre protegee sans permission pour certaines fins comme la critique, l'examen, les nouvelles, l'enseignement et la recherche.</w:t>
      </w:r>
    </w:p>
    <w:p>
      <w:pPr>
        <w:pStyle w:val="Heading2"/>
      </w:pPr>
      <w:r>
        <w:t xml:space="preserve">Exception de fouille de textes et de données (TDM)</w:t>
      </w:r>
    </w:p>
    <w:p>
      <w:r>
        <w:rPr>
          <w:rFonts w:ascii="Arial" w:cs="Arial" w:eastAsia="Arial" w:hAnsi="Arial"/>
          <w:color w:val="404040"/>
          <w:sz w:val="22"/>
          <w:szCs w:val="22"/>
        </w:rPr>
        <w:t xml:space="preserve">L'exception de TDM permet l'utilisation d'oeuvres protegees pour la formation de modèles d'IA, sous certaines conditions :</w:t>
      </w:r>
    </w:p>
    <w:p>
      <w:pPr>
        <w:pStyle w:val="ListParagraph"/>
        <w:numPr>
          <w:ilvl w:val="0"/>
          <w:numId w:val="3"/>
        </w:numPr>
      </w:pPr>
      <w:r>
        <w:rPr>
          <w:rFonts w:ascii="Arial" w:cs="Arial" w:eastAsia="Arial" w:hAnsi="Arial"/>
          <w:color w:val="404040"/>
          <w:sz w:val="22"/>
          <w:szCs w:val="22"/>
        </w:rPr>
        <w:t xml:space="preserve">L'utilisation doit etre pour fin de recherche ou de formation commerciale</w:t>
      </w:r>
    </w:p>
    <w:p>
      <w:pPr>
        <w:pStyle w:val="ListParagraph"/>
        <w:numPr>
          <w:ilvl w:val="0"/>
          <w:numId w:val="3"/>
        </w:numPr>
      </w:pPr>
      <w:r>
        <w:rPr>
          <w:rFonts w:ascii="Arial" w:cs="Arial" w:eastAsia="Arial" w:hAnsi="Arial"/>
          <w:color w:val="404040"/>
          <w:sz w:val="22"/>
          <w:szCs w:val="22"/>
        </w:rPr>
        <w:t xml:space="preserve">L'utilisateur doit avoir un droit legal d'acces a l'oeuvre</w:t>
      </w:r>
    </w:p>
    <w:p>
      <w:pPr>
        <w:pStyle w:val="ListParagraph"/>
        <w:numPr>
          <w:ilvl w:val="0"/>
          <w:numId w:val="3"/>
        </w:numPr>
      </w:pPr>
      <w:r>
        <w:rPr>
          <w:rFonts w:ascii="Arial" w:cs="Arial" w:eastAsia="Arial" w:hAnsi="Arial"/>
          <w:color w:val="404040"/>
          <w:sz w:val="22"/>
          <w:szCs w:val="22"/>
        </w:rPr>
        <w:t xml:space="preserve">L'utilisateur doit respecter les restrictions technologiques imposees par le titulaire</w:t>
      </w:r>
    </w:p>
    <w:p>
      <w:pPr>
        <w:pStyle w:val="ListParagraph"/>
        <w:numPr>
          <w:ilvl w:val="0"/>
          <w:numId w:val="3"/>
        </w:numPr>
      </w:pPr>
      <w:r>
        <w:rPr>
          <w:rFonts w:ascii="Arial" w:cs="Arial" w:eastAsia="Arial" w:hAnsi="Arial"/>
          <w:color w:val="404040"/>
          <w:sz w:val="22"/>
          <w:szCs w:val="22"/>
        </w:rPr>
        <w:t xml:space="preserve">L'utilisateur doit prendre des mesures raisonnables pour eviter de générér du contenu identique</w:t>
      </w:r>
    </w:p>
    <w:p>
      <w:pPr>
        <w:pStyle w:val="Heading2"/>
      </w:pPr>
      <w:r>
        <w:t xml:space="preserve">Évaluation de la legitimite des données d'entrainement</w:t>
      </w:r>
    </w:p>
    <w:p>
      <w:r>
        <w:rPr>
          <w:rFonts w:ascii="Arial" w:cs="Arial" w:eastAsia="Arial" w:hAnsi="Arial"/>
          <w:color w:val="404040"/>
          <w:sz w:val="22"/>
          <w:szCs w:val="22"/>
        </w:rPr>
        <w:t xml:space="preserve">Avant d'utiliser un corpus de données, [NOM_ORGANISATION] :</w:t>
      </w:r>
    </w:p>
    <w:p>
      <w:pPr>
        <w:pStyle w:val="ListParagraph"/>
        <w:numPr>
          <w:ilvl w:val="0"/>
          <w:numId w:val="3"/>
        </w:numPr>
      </w:pPr>
      <w:r>
        <w:rPr>
          <w:rFonts w:ascii="Arial" w:cs="Arial" w:eastAsia="Arial" w:hAnsi="Arial"/>
          <w:color w:val="404040"/>
          <w:sz w:val="22"/>
          <w:szCs w:val="22"/>
        </w:rPr>
        <w:t xml:space="preserve">Determine si les données sont publiquement disponibles ou obtenues avec permission</w:t>
      </w:r>
    </w:p>
    <w:p>
      <w:pPr>
        <w:pStyle w:val="ListParagraph"/>
        <w:numPr>
          <w:ilvl w:val="0"/>
          <w:numId w:val="3"/>
        </w:numPr>
      </w:pPr>
      <w:r>
        <w:rPr>
          <w:rFonts w:ascii="Arial" w:cs="Arial" w:eastAsia="Arial" w:hAnsi="Arial"/>
          <w:color w:val="404040"/>
          <w:sz w:val="22"/>
          <w:szCs w:val="22"/>
        </w:rPr>
        <w:t xml:space="preserve">Verifie si les licences permettent l'entrainement d'IA</w:t>
      </w:r>
    </w:p>
    <w:p>
      <w:pPr>
        <w:pStyle w:val="ListParagraph"/>
        <w:numPr>
          <w:ilvl w:val="0"/>
          <w:numId w:val="3"/>
        </w:numPr>
      </w:pPr>
      <w:r>
        <w:rPr>
          <w:rFonts w:ascii="Arial" w:cs="Arial" w:eastAsia="Arial" w:hAnsi="Arial"/>
          <w:color w:val="404040"/>
          <w:sz w:val="22"/>
          <w:szCs w:val="22"/>
        </w:rPr>
        <w:t xml:space="preserve">Documente la source de chaque corpus et le statut legal</w:t>
      </w:r>
    </w:p>
    <w:p>
      <w:pPr>
        <w:pStyle w:val="ListParagraph"/>
        <w:numPr>
          <w:ilvl w:val="0"/>
          <w:numId w:val="3"/>
        </w:numPr>
      </w:pPr>
      <w:r>
        <w:rPr>
          <w:rFonts w:ascii="Arial" w:cs="Arial" w:eastAsia="Arial" w:hAnsi="Arial"/>
          <w:color w:val="404040"/>
          <w:sz w:val="22"/>
          <w:szCs w:val="22"/>
        </w:rPr>
        <w:t xml:space="preserve">Considere les risques legaux de génération accidentelle de contenu similaire</w:t>
      </w:r>
    </w:p>
    <w:p>
      <w:pPr>
        <w:pStyle w:val="ListParagraph"/>
        <w:numPr>
          <w:ilvl w:val="0"/>
          <w:numId w:val="3"/>
        </w:numPr>
      </w:pPr>
      <w:r>
        <w:rPr>
          <w:rFonts w:ascii="Arial" w:cs="Arial" w:eastAsia="Arial" w:hAnsi="Arial"/>
          <w:color w:val="404040"/>
          <w:sz w:val="22"/>
          <w:szCs w:val="22"/>
        </w:rPr>
        <w:t xml:space="preserve">Consulte un avocat specialise en droit d'auteur en cas d'ambiguite</w:t>
      </w:r>
    </w:p>
    <w:p>
      <w:pPr>
        <w:pStyle w:val="Heading1"/>
      </w:pPr>
      <w:r>
        <w:t xml:space="preserve">Responsabilité pour le contenu généré par IA</w:t>
      </w:r>
    </w:p>
    <w:p>
      <w:pPr>
        <w:pStyle w:val="Heading2"/>
      </w:pPr>
      <w:r>
        <w:t xml:space="preserve">Responsabilité de [NOM_ORGANISATION]</w:t>
      </w:r>
    </w:p>
    <w:p>
      <w:r>
        <w:rPr>
          <w:rFonts w:ascii="Arial" w:cs="Arial" w:eastAsia="Arial" w:hAnsi="Arial"/>
          <w:color w:val="404040"/>
          <w:sz w:val="22"/>
          <w:szCs w:val="22"/>
        </w:rPr>
        <w:t xml:space="preserve">[NOM_ORGANISATION] assume la responsabilité juridique pour tout le contenu généré avec ses systèmes d'IA générative. Cela comprend la responsabilité en cas de violation de droit d'auteur, les inexactitudes, et l'obligation d'indemniser les tiers en cas de violation de leurs droits.</w:t>
      </w:r>
    </w:p>
    <w:p>
      <w:pPr>
        <w:pStyle w:val="Heading2"/>
      </w:pPr>
      <w:r>
        <w:t xml:space="preserve">Due diligence requise</w:t>
      </w:r>
    </w:p>
    <w:p>
      <w:r>
        <w:rPr>
          <w:rFonts w:ascii="Arial" w:cs="Arial" w:eastAsia="Arial" w:hAnsi="Arial"/>
          <w:color w:val="404040"/>
          <w:sz w:val="22"/>
          <w:szCs w:val="22"/>
        </w:rPr>
        <w:t xml:space="preserve">Pour minimiser la responsabilité, [NOM_ORGANISATION] met en place :</w:t>
      </w:r>
    </w:p>
    <w:p>
      <w:pPr>
        <w:pStyle w:val="ListParagraph"/>
        <w:numPr>
          <w:ilvl w:val="0"/>
          <w:numId w:val="3"/>
        </w:numPr>
      </w:pPr>
      <w:r>
        <w:rPr>
          <w:rFonts w:ascii="Arial" w:cs="Arial" w:eastAsia="Arial" w:hAnsi="Arial"/>
          <w:color w:val="404040"/>
          <w:sz w:val="22"/>
          <w:szCs w:val="22"/>
        </w:rPr>
        <w:t xml:space="preserve">Politiques claires sur l'utilisation responsable de l'IA générative</w:t>
      </w:r>
    </w:p>
    <w:p>
      <w:pPr>
        <w:pStyle w:val="ListParagraph"/>
        <w:numPr>
          <w:ilvl w:val="0"/>
          <w:numId w:val="3"/>
        </w:numPr>
      </w:pPr>
      <w:r>
        <w:rPr>
          <w:rFonts w:ascii="Arial" w:cs="Arial" w:eastAsia="Arial" w:hAnsi="Arial"/>
          <w:color w:val="404040"/>
          <w:sz w:val="22"/>
          <w:szCs w:val="22"/>
        </w:rPr>
        <w:t xml:space="preserve">Formation pour les employes sur les enjeux de droit d'auteur</w:t>
      </w:r>
    </w:p>
    <w:p>
      <w:pPr>
        <w:pStyle w:val="ListParagraph"/>
        <w:numPr>
          <w:ilvl w:val="0"/>
          <w:numId w:val="3"/>
        </w:numPr>
      </w:pPr>
      <w:r>
        <w:rPr>
          <w:rFonts w:ascii="Arial" w:cs="Arial" w:eastAsia="Arial" w:hAnsi="Arial"/>
          <w:color w:val="404040"/>
          <w:sz w:val="22"/>
          <w:szCs w:val="22"/>
        </w:rPr>
        <w:t xml:space="preserve">Mecanismes de monitoring et d'audit du contenu généré</w:t>
      </w:r>
    </w:p>
    <w:p>
      <w:pPr>
        <w:pStyle w:val="ListParagraph"/>
        <w:numPr>
          <w:ilvl w:val="0"/>
          <w:numId w:val="3"/>
        </w:numPr>
      </w:pPr>
      <w:r>
        <w:rPr>
          <w:rFonts w:ascii="Arial" w:cs="Arial" w:eastAsia="Arial" w:hAnsi="Arial"/>
          <w:color w:val="404040"/>
          <w:sz w:val="22"/>
          <w:szCs w:val="22"/>
        </w:rPr>
        <w:t xml:space="preserve">Procèssus de révision avant la publication ou l'utilisation publique</w:t>
      </w:r>
    </w:p>
    <w:p>
      <w:pPr>
        <w:pStyle w:val="ListParagraph"/>
        <w:numPr>
          <w:ilvl w:val="0"/>
          <w:numId w:val="3"/>
        </w:numPr>
      </w:pPr>
      <w:r>
        <w:rPr>
          <w:rFonts w:ascii="Arial" w:cs="Arial" w:eastAsia="Arial" w:hAnsi="Arial"/>
          <w:color w:val="404040"/>
          <w:sz w:val="22"/>
          <w:szCs w:val="22"/>
        </w:rPr>
        <w:t xml:space="preserve">Mises a jour des systèmes pour eviter les biais ou le contenu problematique</w:t>
      </w:r>
    </w:p>
    <w:p>
      <w:pPr>
        <w:pStyle w:val="Heading1"/>
      </w:pPr>
      <w:r>
        <w:t xml:space="preserve">Attribution et reconnaissance d'auteur</w:t>
      </w:r>
    </w:p>
    <w:p>
      <w:pPr>
        <w:pStyle w:val="Heading2"/>
      </w:pPr>
      <w:r>
        <w:t xml:space="preserve">Obligation d'attribution</w:t>
      </w:r>
    </w:p>
    <w:p>
      <w:r>
        <w:rPr>
          <w:rFonts w:ascii="Arial" w:cs="Arial" w:eastAsia="Arial" w:hAnsi="Arial"/>
          <w:color w:val="404040"/>
          <w:sz w:val="22"/>
          <w:szCs w:val="22"/>
        </w:rPr>
        <w:t xml:space="preserve">Lorsque [NOM_ORGANISATION] utilise du contenu assiste par IA, elle reconnait les auteurs humains qui ont fourni une contribution significative, divulgue l'utilisation de l'IA, attribue correctement les sources, et respecte les droits moraux des auteurs originaux.</w:t>
      </w:r>
    </w:p>
    <w:p>
      <w:pPr>
        <w:pStyle w:val="Heading2"/>
      </w:pPr>
      <w:r>
        <w:t xml:space="preserve">Divulgation de l'utilisation de l'IA</w:t>
      </w:r>
    </w:p>
    <w:p>
      <w:r>
        <w:rPr>
          <w:rFonts w:ascii="Arial" w:cs="Arial" w:eastAsia="Arial" w:hAnsi="Arial"/>
          <w:color w:val="404040"/>
          <w:sz w:val="22"/>
          <w:szCs w:val="22"/>
        </w:rPr>
        <w:t xml:space="preserve">[NOM_ORGANISATION] divulgue l'utilisation de l'IA générative dans les contextes suivants :</w:t>
      </w:r>
    </w:p>
    <w:p>
      <w:pPr>
        <w:pStyle w:val="ListParagraph"/>
        <w:numPr>
          <w:ilvl w:val="0"/>
          <w:numId w:val="2"/>
        </w:numPr>
      </w:pPr>
      <w:r>
        <w:rPr>
          <w:rFonts w:ascii="Arial" w:cs="Arial" w:eastAsia="Arial" w:hAnsi="Arial"/>
          <w:color w:val="404040"/>
          <w:sz w:val="22"/>
          <w:szCs w:val="22"/>
        </w:rPr>
        <w:t xml:space="preserve">Génération de contenu pour les clients ou le public</w:t>
      </w:r>
    </w:p>
    <w:p>
      <w:pPr>
        <w:pStyle w:val="ListParagraph"/>
        <w:numPr>
          <w:ilvl w:val="0"/>
          <w:numId w:val="2"/>
        </w:numPr>
      </w:pPr>
      <w:r>
        <w:rPr>
          <w:rFonts w:ascii="Arial" w:cs="Arial" w:eastAsia="Arial" w:hAnsi="Arial"/>
          <w:color w:val="404040"/>
          <w:sz w:val="22"/>
          <w:szCs w:val="22"/>
        </w:rPr>
        <w:t xml:space="preserve">Prise de décision ayant un impact sur les droits ou les interets des personnes</w:t>
      </w:r>
    </w:p>
    <w:p>
      <w:pPr>
        <w:pStyle w:val="ListParagraph"/>
        <w:numPr>
          <w:ilvl w:val="0"/>
          <w:numId w:val="2"/>
        </w:numPr>
      </w:pPr>
      <w:r>
        <w:rPr>
          <w:rFonts w:ascii="Arial" w:cs="Arial" w:eastAsia="Arial" w:hAnsi="Arial"/>
          <w:color w:val="404040"/>
          <w:sz w:val="22"/>
          <w:szCs w:val="22"/>
        </w:rPr>
        <w:t xml:space="preserve">Utilisation dans le contexte de services ou de produits commerciaux</w:t>
      </w:r>
    </w:p>
    <w:p>
      <w:pPr>
        <w:pStyle w:val="ListParagraph"/>
        <w:numPr>
          <w:ilvl w:val="0"/>
          <w:numId w:val="2"/>
        </w:numPr>
      </w:pPr>
      <w:r>
        <w:rPr>
          <w:rFonts w:ascii="Arial" w:cs="Arial" w:eastAsia="Arial" w:hAnsi="Arial"/>
          <w:color w:val="404040"/>
          <w:sz w:val="22"/>
          <w:szCs w:val="22"/>
        </w:rPr>
        <w:t xml:space="preserve">Utilisation dans un contexte ou la divulgation est exigee par la loi</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juridique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les enjeux de droit d'auteur lies a l'IA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Équipe de conformité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Assuré que les pratiques respectent le droit d'auteur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projets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Integrent les exigences de droit d'auteur dans les projets</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Audit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l'utilisation actuelle des outils d'IA générative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Formation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Former les employes sur les enjeux de droit d'auteur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Policies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Publier les politiques et les directives d'utilisation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Monitoring</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Mettre en place des mecanismes de monitoring et d'audit</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Évaluation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la conformité et ajuster les procèssus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Droit d'auteur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Droit legal accordant a l'auteur d'une oeuvre le droit exclusif de reproduire l'oeuvre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Fair dealing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Exception au droit d'auteur permettant l'utilisation limitee a certaines fins legales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Copyrightabilite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Capacite d'une oeuvre a etre protegee par droit d'auteur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Obligation legale pour les impacts et dommages causes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Guide sur les droits d'auteur et le contenu généré par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2026-03-05T02:14:56.809Z</dcterms:created>
  <dcterms:modified xsi:type="dcterms:W3CDTF">2026-03-05T02:14:56.809Z</dcterms:modified>
</cp:coreProperties>
</file>

<file path=docProps/custom.xml><?xml version="1.0" encoding="utf-8"?>
<Properties xmlns="http://schemas.openxmlformats.org/officeDocument/2006/custom-properties" xmlns:vt="http://schemas.openxmlformats.org/officeDocument/2006/docPropsVTypes"/>
</file>