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Politique de gestion des licences de modèles IA</w:t>
      </w:r>
    </w:p>
    <w:p>
      <w:pPr>
        <w:spacing w:after="600"/>
        <w:jc w:val="center"/>
      </w:pPr>
      <w:r>
        <w:rPr>
          <w:rFonts w:ascii="Arial" w:cs="Arial" w:eastAsia="Arial" w:hAnsi="Arial"/>
          <w:color w:val="2E75B6"/>
          <w:sz w:val="24"/>
          <w:szCs w:val="24"/>
        </w:rPr>
        <w:t xml:space="preserve">Conformité legale, évaluation des licences et gestion des risques</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Loi sur le droit d'auteur du Canada (L.R.C. 1985, c. C-42)</w:t>
      </w:r>
    </w:p>
    <w:p>
      <w:pPr>
        <w:pStyle w:val="ListParagraph"/>
        <w:numPr>
          <w:ilvl w:val="0"/>
          <w:numId w:val="2"/>
        </w:numPr>
      </w:pPr>
      <w:r>
        <w:rPr>
          <w:rFonts w:ascii="Arial" w:cs="Arial" w:eastAsia="Arial" w:hAnsi="Arial"/>
          <w:color w:val="404040"/>
          <w:sz w:val="22"/>
          <w:szCs w:val="22"/>
        </w:rPr>
        <w:t xml:space="preserve">Open Source Initiative (OSI) - Definition du logiciel libre</w:t>
      </w:r>
    </w:p>
    <w:p>
      <w:pPr>
        <w:pStyle w:val="ListParagraph"/>
        <w:numPr>
          <w:ilvl w:val="0"/>
          <w:numId w:val="2"/>
        </w:numPr>
      </w:pPr>
      <w:r>
        <w:rPr>
          <w:rFonts w:ascii="Arial" w:cs="Arial" w:eastAsia="Arial" w:hAnsi="Arial"/>
          <w:color w:val="404040"/>
          <w:sz w:val="22"/>
          <w:szCs w:val="22"/>
        </w:rPr>
        <w:t xml:space="preserve">Free Software Foundation (FSF) - GNU General Public License (GPL)</w:t>
      </w:r>
    </w:p>
    <w:p>
      <w:pPr>
        <w:pStyle w:val="ListParagraph"/>
        <w:numPr>
          <w:ilvl w:val="0"/>
          <w:numId w:val="2"/>
        </w:numPr>
      </w:pPr>
      <w:r>
        <w:rPr>
          <w:rFonts w:ascii="Arial" w:cs="Arial" w:eastAsia="Arial" w:hAnsi="Arial"/>
          <w:color w:val="404040"/>
          <w:sz w:val="22"/>
          <w:szCs w:val="22"/>
        </w:rPr>
        <w:t xml:space="preserve">Creative Commons Licenses</w:t>
      </w:r>
    </w:p>
    <w:p>
      <w:pPr>
        <w:pStyle w:val="ListParagraph"/>
        <w:numPr>
          <w:ilvl w:val="0"/>
          <w:numId w:val="2"/>
        </w:numPr>
      </w:pPr>
      <w:r>
        <w:rPr>
          <w:rFonts w:ascii="Arial" w:cs="Arial" w:eastAsia="Arial" w:hAnsi="Arial"/>
          <w:color w:val="404040"/>
          <w:sz w:val="22"/>
          <w:szCs w:val="22"/>
        </w:rPr>
        <w:t xml:space="preserve">SPDX License List - Standard identifiér pour les licences open source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Objet et portee</w:t>
      </w:r>
    </w:p>
    <w:p>
      <w:r>
        <w:rPr>
          <w:rFonts w:ascii="Arial" w:cs="Arial" w:eastAsia="Arial" w:hAnsi="Arial"/>
          <w:color w:val="404040"/>
          <w:sz w:val="22"/>
          <w:szCs w:val="22"/>
        </w:rPr>
        <w:t xml:space="preserve">La presente politique definit les regles et procédures de gestion des licences de modèles d'intelligence artificielle, de logiciels et de données utilisees ou distribuees par [NOM_ORGANISATION]. Elle s'applique a tous les projets IA impliquant des composants licencies, qu'ils soient open source, commerciaux ou hybrides.</w:t>
      </w:r>
    </w:p>
    <w:p>
      <w:pPr>
        <w:pStyle w:val="Heading2"/>
      </w:pPr>
      <w:r>
        <w:t xml:space="preserve">Objectifs de la politique</w:t>
      </w:r>
    </w:p>
    <w:p>
      <w:pPr>
        <w:pStyle w:val="ListParagraph"/>
        <w:numPr>
          <w:ilvl w:val="0"/>
          <w:numId w:val="2"/>
        </w:numPr>
      </w:pPr>
      <w:r>
        <w:rPr>
          <w:rFonts w:ascii="Arial" w:cs="Arial" w:eastAsia="Arial" w:hAnsi="Arial"/>
          <w:color w:val="404040"/>
          <w:sz w:val="22"/>
          <w:szCs w:val="22"/>
        </w:rPr>
        <w:t xml:space="preserve">Assurer la conformité legale avec les conditions des licences utilisees</w:t>
      </w:r>
    </w:p>
    <w:p>
      <w:pPr>
        <w:pStyle w:val="ListParagraph"/>
        <w:numPr>
          <w:ilvl w:val="0"/>
          <w:numId w:val="2"/>
        </w:numPr>
      </w:pPr>
      <w:r>
        <w:rPr>
          <w:rFonts w:ascii="Arial" w:cs="Arial" w:eastAsia="Arial" w:hAnsi="Arial"/>
          <w:color w:val="404040"/>
          <w:sz w:val="22"/>
          <w:szCs w:val="22"/>
        </w:rPr>
        <w:t xml:space="preserve">Évaluer et gerer les risques associes aux licences open source</w:t>
      </w:r>
    </w:p>
    <w:p>
      <w:pPr>
        <w:pStyle w:val="ListParagraph"/>
        <w:numPr>
          <w:ilvl w:val="0"/>
          <w:numId w:val="2"/>
        </w:numPr>
      </w:pPr>
      <w:r>
        <w:rPr>
          <w:rFonts w:ascii="Arial" w:cs="Arial" w:eastAsia="Arial" w:hAnsi="Arial"/>
          <w:color w:val="404040"/>
          <w:sz w:val="22"/>
          <w:szCs w:val="22"/>
        </w:rPr>
        <w:t xml:space="preserve">Faciliter l'adoption responsable de modèles et de logiciels open source</w:t>
      </w:r>
    </w:p>
    <w:p>
      <w:pPr>
        <w:pStyle w:val="ListParagraph"/>
        <w:numPr>
          <w:ilvl w:val="0"/>
          <w:numId w:val="2"/>
        </w:numPr>
      </w:pPr>
      <w:r>
        <w:rPr>
          <w:rFonts w:ascii="Arial" w:cs="Arial" w:eastAsia="Arial" w:hAnsi="Arial"/>
          <w:color w:val="404040"/>
          <w:sz w:val="22"/>
          <w:szCs w:val="22"/>
        </w:rPr>
        <w:t xml:space="preserve">Eviter les violations de licence et les litiges juridiques</w:t>
      </w:r>
    </w:p>
    <w:p>
      <w:pPr>
        <w:pStyle w:val="ListParagraph"/>
        <w:numPr>
          <w:ilvl w:val="0"/>
          <w:numId w:val="2"/>
        </w:numPr>
      </w:pPr>
      <w:r>
        <w:rPr>
          <w:rFonts w:ascii="Arial" w:cs="Arial" w:eastAsia="Arial" w:hAnsi="Arial"/>
          <w:color w:val="404040"/>
          <w:sz w:val="22"/>
          <w:szCs w:val="22"/>
        </w:rPr>
        <w:t xml:space="preserve">Documenter et tracer l'utilisation des licences dans tous les projets IA</w:t>
      </w:r>
    </w:p>
    <w:p>
      <w:pPr>
        <w:pStyle w:val="ListParagraph"/>
        <w:numPr>
          <w:ilvl w:val="0"/>
          <w:numId w:val="2"/>
        </w:numPr>
      </w:pPr>
      <w:r>
        <w:rPr>
          <w:rFonts w:ascii="Arial" w:cs="Arial" w:eastAsia="Arial" w:hAnsi="Arial"/>
          <w:color w:val="404040"/>
          <w:sz w:val="22"/>
          <w:szCs w:val="22"/>
        </w:rPr>
        <w:t xml:space="preserve">Clarifier quand et comment [NOM_ORGANISATION] peut distribuer ou commercialiser les solutions</w:t>
      </w:r>
    </w:p>
    <w:p>
      <w:pPr>
        <w:pStyle w:val="Heading1"/>
      </w:pPr>
      <w:r>
        <w:t xml:space="preserve">Principes directeurs</w:t>
      </w:r>
    </w:p>
    <w:p>
      <w:pPr>
        <w:pStyle w:val="Heading2"/>
      </w:pPr>
      <w:r>
        <w:t xml:space="preserve">Respect des conditions de licence</w:t>
      </w:r>
    </w:p>
    <w:p>
      <w:r>
        <w:rPr>
          <w:rFonts w:ascii="Arial" w:cs="Arial" w:eastAsia="Arial" w:hAnsi="Arial"/>
          <w:color w:val="404040"/>
          <w:sz w:val="22"/>
          <w:szCs w:val="22"/>
        </w:rPr>
        <w:t xml:space="preserve">[NOM_ORGANISATION] respecte scrupuleusement les conditions de toute licence appliquee aux composants qu'elle utilise. Le non-respect peut entrainer des poursuites juridiques et une responsabilité legale.</w:t>
      </w:r>
    </w:p>
    <w:p>
      <w:pPr>
        <w:pStyle w:val="Heading2"/>
      </w:pPr>
      <w:r>
        <w:t xml:space="preserve">Classification des licences</w:t>
      </w:r>
    </w:p>
    <w:p>
      <w:r>
        <w:rPr>
          <w:rFonts w:ascii="Arial" w:cs="Arial" w:eastAsia="Arial" w:hAnsi="Arial"/>
          <w:color w:val="404040"/>
          <w:sz w:val="22"/>
          <w:szCs w:val="22"/>
        </w:rPr>
        <w:t xml:space="preserve">Les licences de logiciels et de modèles IA sont classifiees selon leur permissivite :</w:t>
      </w:r>
    </w:p>
    <w:p>
      <w:pPr>
        <w:pStyle w:val="ListParagraph"/>
        <w:numPr>
          <w:ilvl w:val="0"/>
          <w:numId w:val="2"/>
        </w:numPr>
      </w:pPr>
      <w:r>
        <w:rPr>
          <w:rFonts w:ascii="Arial" w:cs="Arial" w:eastAsia="Arial" w:hAnsi="Arial"/>
          <w:color w:val="404040"/>
          <w:sz w:val="22"/>
          <w:szCs w:val="22"/>
        </w:rPr>
        <w:t xml:space="preserve">Licences permissives : peu de restrictions (MIT, Apache, BSD)</w:t>
      </w:r>
    </w:p>
    <w:p>
      <w:pPr>
        <w:pStyle w:val="ListParagraph"/>
        <w:numPr>
          <w:ilvl w:val="0"/>
          <w:numId w:val="2"/>
        </w:numPr>
      </w:pPr>
      <w:r>
        <w:rPr>
          <w:rFonts w:ascii="Arial" w:cs="Arial" w:eastAsia="Arial" w:hAnsi="Arial"/>
          <w:color w:val="404040"/>
          <w:sz w:val="22"/>
          <w:szCs w:val="22"/>
        </w:rPr>
        <w:t xml:space="preserve">Licences reciproques : exigent que les modifications utilisent la meme licence (GPL, AGPL)</w:t>
      </w:r>
    </w:p>
    <w:p>
      <w:pPr>
        <w:pStyle w:val="ListParagraph"/>
        <w:numPr>
          <w:ilvl w:val="0"/>
          <w:numId w:val="2"/>
        </w:numPr>
      </w:pPr>
      <w:r>
        <w:rPr>
          <w:rFonts w:ascii="Arial" w:cs="Arial" w:eastAsia="Arial" w:hAnsi="Arial"/>
          <w:color w:val="404040"/>
          <w:sz w:val="22"/>
          <w:szCs w:val="22"/>
        </w:rPr>
        <w:t xml:space="preserve">Licences restrictives : limitations significatives (licences commerciales propriétaires)</w:t>
      </w:r>
    </w:p>
    <w:p>
      <w:pPr>
        <w:pStyle w:val="ListParagraph"/>
        <w:numPr>
          <w:ilvl w:val="0"/>
          <w:numId w:val="2"/>
        </w:numPr>
      </w:pPr>
      <w:r>
        <w:rPr>
          <w:rFonts w:ascii="Arial" w:cs="Arial" w:eastAsia="Arial" w:hAnsi="Arial"/>
          <w:color w:val="404040"/>
          <w:sz w:val="22"/>
          <w:szCs w:val="22"/>
        </w:rPr>
        <w:t xml:space="preserve">Licences hybrides : combinaison de conditions permissives et restrictives</w:t>
      </w:r>
    </w:p>
    <w:p>
      <w:pPr>
        <w:pStyle w:val="Heading2"/>
      </w:pPr>
      <w:r>
        <w:t xml:space="preserve">Due diligence sur les licences</w:t>
      </w:r>
    </w:p>
    <w:p>
      <w:r>
        <w:rPr>
          <w:rFonts w:ascii="Arial" w:cs="Arial" w:eastAsia="Arial" w:hAnsi="Arial"/>
          <w:color w:val="404040"/>
          <w:sz w:val="22"/>
          <w:szCs w:val="22"/>
        </w:rPr>
        <w:t xml:space="preserve">Avant d'integrer un modèle ou un logiciel, [NOM_ORGANISATION] realise une due diligence pour identifiér la licence exactement, comprendre les conditions et les obligations, évaluer la compatibilite, identifiér les risques, et documenter la décision.</w:t>
      </w:r>
    </w:p>
    <w:p>
      <w:pPr>
        <w:pStyle w:val="Heading1"/>
      </w:pPr>
      <w:r>
        <w:t xml:space="preserve">Licences open source populaires pour l'IA</w:t>
      </w:r>
    </w:p>
    <w:p>
      <w:pPr>
        <w:pStyle w:val="Heading2"/>
      </w:pPr>
      <w:r>
        <w:t xml:space="preserve">MIT License</w:t>
      </w:r>
    </w:p>
    <w:p>
      <w:r>
        <w:rPr>
          <w:rFonts w:ascii="Arial" w:cs="Arial" w:eastAsia="Arial" w:hAnsi="Arial"/>
          <w:color w:val="404040"/>
          <w:sz w:val="22"/>
          <w:szCs w:val="22"/>
        </w:rPr>
        <w:t xml:space="preserve">Une licence permissive tres liberale qui permet l'utilisation, la modification et la distribution commerciale. Elle exige seulement la preservation du notice de copyright et de licence. Tres populaire pour les outils IA comme PyTorch et scikit-learn.</w:t>
      </w:r>
    </w:p>
    <w:p>
      <w:pPr>
        <w:pStyle w:val="Heading2"/>
      </w:pPr>
      <w:r>
        <w:t xml:space="preserve">Apache License 2.0</w:t>
      </w:r>
    </w:p>
    <w:p>
      <w:r>
        <w:rPr>
          <w:rFonts w:ascii="Arial" w:cs="Arial" w:eastAsia="Arial" w:hAnsi="Arial"/>
          <w:color w:val="404040"/>
          <w:sz w:val="22"/>
          <w:szCs w:val="22"/>
        </w:rPr>
        <w:t xml:space="preserve">Une licence permissive avec des dispositions de brevets. Elle accorde explicitement un droit de brevet des contributeurs et exige la preservation du notice de copyright et l'attribution des auteurs. Utilisee par TensorFlow et d'autres frameworks IA majeurs.</w:t>
      </w:r>
    </w:p>
    <w:p>
      <w:pPr>
        <w:pStyle w:val="Heading2"/>
      </w:pPr>
      <w:r>
        <w:t xml:space="preserve">GNU General Public License (GPL v3)</w:t>
      </w:r>
    </w:p>
    <w:p>
      <w:r>
        <w:rPr>
          <w:rFonts w:ascii="Arial" w:cs="Arial" w:eastAsia="Arial" w:hAnsi="Arial"/>
          <w:color w:val="404040"/>
          <w:sz w:val="22"/>
          <w:szCs w:val="22"/>
        </w:rPr>
        <w:t xml:space="preserve">Une licence reciproque avec obligations significatives. Elle exige que tout travail derive soit distribue sous les memes termes GPL v3 et demande de divulguer le code source modifie si distribue. Peut créer une responsabilité de contamination si integree dans un logiciel propriétaire.</w:t>
      </w:r>
    </w:p>
    <w:p>
      <w:pPr>
        <w:pStyle w:val="Heading2"/>
      </w:pPr>
      <w:r>
        <w:t xml:space="preserve">GNU Affero General Public License (AGPL v3)</w:t>
      </w:r>
    </w:p>
    <w:p>
      <w:r>
        <w:rPr>
          <w:rFonts w:ascii="Arial" w:cs="Arial" w:eastAsia="Arial" w:hAnsi="Arial"/>
          <w:color w:val="404040"/>
          <w:sz w:val="22"/>
          <w:szCs w:val="22"/>
        </w:rPr>
        <w:t xml:space="preserve">Une licence reciproque stricte qui s'applique aussi a l'utilisation reseau. Si on utilise le logiciel pour fournir un service via reseau (API, cloud), on doit divulguer le code source. Peut créer des risques significatifs pour les services cloud commerciaux.</w:t>
      </w:r>
    </w:p>
    <w:p>
      <w:pPr>
        <w:pStyle w:val="Heading1"/>
      </w:pPr>
      <w:r>
        <w:t xml:space="preserve">Gestion des licences dans les projets IA</w:t>
      </w:r>
    </w:p>
    <w:p>
      <w:pPr>
        <w:pStyle w:val="Heading2"/>
      </w:pPr>
      <w:r>
        <w:t xml:space="preserve">Évaluation de la compatibilite</w:t>
      </w:r>
    </w:p>
    <w:p>
      <w:r>
        <w:rPr>
          <w:rFonts w:ascii="Arial" w:cs="Arial" w:eastAsia="Arial" w:hAnsi="Arial"/>
          <w:color w:val="404040"/>
          <w:sz w:val="22"/>
          <w:szCs w:val="22"/>
        </w:rPr>
        <w:t xml:space="preserve">Avant de combiner plusieurs composants licencies, [NOM_ORGANISATION] identifié toutes les licences, consulte des matrices de compatibilite, identifié les conflits potentiels, evalue les risques juridiques, et documente la décision.</w:t>
      </w:r>
    </w:p>
    <w:p>
      <w:pPr>
        <w:pStyle w:val="Heading2"/>
      </w:pPr>
      <w:r>
        <w:t xml:space="preserve">Scenarios de non-compatibilite courants</w:t>
      </w:r>
    </w:p>
    <w:p>
      <w:r>
        <w:rPr>
          <w:rFonts w:ascii="Arial" w:cs="Arial" w:eastAsia="Arial" w:hAnsi="Arial"/>
          <w:color w:val="404040"/>
          <w:sz w:val="22"/>
          <w:szCs w:val="22"/>
        </w:rPr>
        <w:t xml:space="preserve">Les scenarios suivants doivent etre evites :</w:t>
      </w:r>
    </w:p>
    <w:p>
      <w:pPr>
        <w:pStyle w:val="ListParagraph"/>
        <w:numPr>
          <w:ilvl w:val="0"/>
          <w:numId w:val="2"/>
        </w:numPr>
      </w:pPr>
      <w:r>
        <w:rPr>
          <w:rFonts w:ascii="Arial" w:cs="Arial" w:eastAsia="Arial" w:hAnsi="Arial"/>
          <w:color w:val="404040"/>
          <w:sz w:val="22"/>
          <w:szCs w:val="22"/>
        </w:rPr>
        <w:t xml:space="preserve">Integrer une librairie GPL dans un logiciel propriétaire sans divulguer le code source</w:t>
      </w:r>
    </w:p>
    <w:p>
      <w:pPr>
        <w:pStyle w:val="ListParagraph"/>
        <w:numPr>
          <w:ilvl w:val="0"/>
          <w:numId w:val="2"/>
        </w:numPr>
      </w:pPr>
      <w:r>
        <w:rPr>
          <w:rFonts w:ascii="Arial" w:cs="Arial" w:eastAsia="Arial" w:hAnsi="Arial"/>
          <w:color w:val="404040"/>
          <w:sz w:val="22"/>
          <w:szCs w:val="22"/>
        </w:rPr>
        <w:t xml:space="preserve">Combiner GPL v2 et Apache 2.0 sans accord sur les conditions</w:t>
      </w:r>
    </w:p>
    <w:p>
      <w:pPr>
        <w:pStyle w:val="ListParagraph"/>
        <w:numPr>
          <w:ilvl w:val="0"/>
          <w:numId w:val="2"/>
        </w:numPr>
      </w:pPr>
      <w:r>
        <w:rPr>
          <w:rFonts w:ascii="Arial" w:cs="Arial" w:eastAsia="Arial" w:hAnsi="Arial"/>
          <w:color w:val="404040"/>
          <w:sz w:val="22"/>
          <w:szCs w:val="22"/>
        </w:rPr>
        <w:t xml:space="preserve">Utiliser AGPL sans realiser que les services doivent divulguer le code source</w:t>
      </w:r>
    </w:p>
    <w:p>
      <w:pPr>
        <w:pStyle w:val="ListParagraph"/>
        <w:numPr>
          <w:ilvl w:val="0"/>
          <w:numId w:val="2"/>
        </w:numPr>
      </w:pPr>
      <w:r>
        <w:rPr>
          <w:rFonts w:ascii="Arial" w:cs="Arial" w:eastAsia="Arial" w:hAnsi="Arial"/>
          <w:color w:val="404040"/>
          <w:sz w:val="22"/>
          <w:szCs w:val="22"/>
        </w:rPr>
        <w:t xml:space="preserve">Ignorer les licences transitives des dépendances</w:t>
      </w:r>
    </w:p>
    <w:p>
      <w:pPr>
        <w:pStyle w:val="Heading2"/>
      </w:pPr>
      <w:r>
        <w:t xml:space="preserve">Tracking et documentation</w:t>
      </w:r>
    </w:p>
    <w:p>
      <w:r>
        <w:rPr>
          <w:rFonts w:ascii="Arial" w:cs="Arial" w:eastAsia="Arial" w:hAnsi="Arial"/>
          <w:color w:val="404040"/>
          <w:sz w:val="22"/>
          <w:szCs w:val="22"/>
        </w:rPr>
        <w:t xml:space="preserve">[NOM_ORGANISATION] maintient une documentation exhaustive de toutes les licences utilisees :</w:t>
      </w:r>
    </w:p>
    <w:p>
      <w:pPr>
        <w:pStyle w:val="ListParagraph"/>
        <w:numPr>
          <w:ilvl w:val="0"/>
          <w:numId w:val="2"/>
        </w:numPr>
      </w:pPr>
      <w:r>
        <w:rPr>
          <w:rFonts w:ascii="Arial" w:cs="Arial" w:eastAsia="Arial" w:hAnsi="Arial"/>
          <w:color w:val="404040"/>
          <w:sz w:val="22"/>
          <w:szCs w:val="22"/>
        </w:rPr>
        <w:t xml:space="preserve">Liste de toutes les dépendances et leurs versions exactes</w:t>
      </w:r>
    </w:p>
    <w:p>
      <w:pPr>
        <w:pStyle w:val="ListParagraph"/>
        <w:numPr>
          <w:ilvl w:val="0"/>
          <w:numId w:val="2"/>
        </w:numPr>
      </w:pPr>
      <w:r>
        <w:rPr>
          <w:rFonts w:ascii="Arial" w:cs="Arial" w:eastAsia="Arial" w:hAnsi="Arial"/>
          <w:color w:val="404040"/>
          <w:sz w:val="22"/>
          <w:szCs w:val="22"/>
        </w:rPr>
        <w:t xml:space="preserve">Copie de la licence de chaque dépendance</w:t>
      </w:r>
    </w:p>
    <w:p>
      <w:pPr>
        <w:pStyle w:val="ListParagraph"/>
        <w:numPr>
          <w:ilvl w:val="0"/>
          <w:numId w:val="2"/>
        </w:numPr>
      </w:pPr>
      <w:r>
        <w:rPr>
          <w:rFonts w:ascii="Arial" w:cs="Arial" w:eastAsia="Arial" w:hAnsi="Arial"/>
          <w:color w:val="404040"/>
          <w:sz w:val="22"/>
          <w:szCs w:val="22"/>
        </w:rPr>
        <w:t xml:space="preserve">Évaluation de la compatibilite avec le projet</w:t>
      </w:r>
    </w:p>
    <w:p>
      <w:pPr>
        <w:pStyle w:val="ListParagraph"/>
        <w:numPr>
          <w:ilvl w:val="0"/>
          <w:numId w:val="2"/>
        </w:numPr>
      </w:pPr>
      <w:r>
        <w:rPr>
          <w:rFonts w:ascii="Arial" w:cs="Arial" w:eastAsia="Arial" w:hAnsi="Arial"/>
          <w:color w:val="404040"/>
          <w:sz w:val="22"/>
          <w:szCs w:val="22"/>
        </w:rPr>
        <w:t xml:space="preserve">Décision sur la conformité (accepte, rejete, conditionnel)</w:t>
      </w:r>
    </w:p>
    <w:p>
      <w:pPr>
        <w:pStyle w:val="ListParagraph"/>
        <w:numPr>
          <w:ilvl w:val="0"/>
          <w:numId w:val="2"/>
        </w:numPr>
      </w:pPr>
      <w:r>
        <w:rPr>
          <w:rFonts w:ascii="Arial" w:cs="Arial" w:eastAsia="Arial" w:hAnsi="Arial"/>
          <w:color w:val="404040"/>
          <w:sz w:val="22"/>
          <w:szCs w:val="22"/>
        </w:rPr>
        <w:t xml:space="preserve">Date de l'évaluation et responsable</w:t>
      </w:r>
    </w:p>
    <w:p>
      <w:pPr>
        <w:pStyle w:val="ListParagraph"/>
        <w:numPr>
          <w:ilvl w:val="0"/>
          <w:numId w:val="2"/>
        </w:numPr>
      </w:pPr>
      <w:r>
        <w:rPr>
          <w:rFonts w:ascii="Arial" w:cs="Arial" w:eastAsia="Arial" w:hAnsi="Arial"/>
          <w:color w:val="404040"/>
          <w:sz w:val="22"/>
          <w:szCs w:val="22"/>
        </w:rPr>
        <w:t xml:space="preserve">Mise a jour periodique lorsque les dépendances evoluent</w:t>
      </w:r>
    </w:p>
    <w:p>
      <w:pPr>
        <w:pStyle w:val="Heading1"/>
      </w:pPr>
      <w:r>
        <w:t xml:space="preserve">Utilisation de modèles open source dans les solutions commerciales</w:t>
      </w:r>
    </w:p>
    <w:p>
      <w:pPr>
        <w:pStyle w:val="Heading2"/>
      </w:pPr>
      <w:r>
        <w:t xml:space="preserve">Fine-tuning de modèles open source</w:t>
      </w:r>
    </w:p>
    <w:p>
      <w:r>
        <w:rPr>
          <w:rFonts w:ascii="Arial" w:cs="Arial" w:eastAsia="Arial" w:hAnsi="Arial"/>
          <w:color w:val="404040"/>
          <w:sz w:val="22"/>
          <w:szCs w:val="22"/>
        </w:rPr>
        <w:t xml:space="preserve">Lorsque [NOM_ORGANISATION] effectue un fine-tuning d'un modèle open source, le modèle affine reste couvert par la licence du modèle original. Si la licence est GPL ou AGPL, les derivees doivent aussi utiliser la meme licence. [NOM_ORGANISATION] doit conserver la notice de licence dans la documentation.</w:t>
      </w:r>
    </w:p>
    <w:p>
      <w:pPr>
        <w:pStyle w:val="Heading2"/>
      </w:pPr>
      <w:r>
        <w:t xml:space="preserve">Integration dans des produits commerciaux</w:t>
      </w:r>
    </w:p>
    <w:p>
      <w:r>
        <w:rPr>
          <w:rFonts w:ascii="Arial" w:cs="Arial" w:eastAsia="Arial" w:hAnsi="Arial"/>
          <w:color w:val="404040"/>
          <w:sz w:val="22"/>
          <w:szCs w:val="22"/>
        </w:rPr>
        <w:t xml:space="preserve">Si [NOM_ORGANISATION] intègre un modèle open source dans un produit commercial, elle doit identifiér la licence, évaluer les obligations, documenter comment la licence affecte le produit final, et informer les clients des termes de la licence du modèle integre.</w:t>
      </w:r>
    </w:p>
    <w:p>
      <w:pPr>
        <w:pStyle w:val="Heading1"/>
      </w:pPr>
      <w:r>
        <w:t xml:space="preserve">Données d'entrainement et licences</w:t>
      </w:r>
    </w:p>
    <w:p>
      <w:pPr>
        <w:pStyle w:val="Heading2"/>
      </w:pPr>
      <w:r>
        <w:t xml:space="preserve">Licences de datasets</w:t>
      </w:r>
    </w:p>
    <w:p>
      <w:r>
        <w:rPr>
          <w:rFonts w:ascii="Arial" w:cs="Arial" w:eastAsia="Arial" w:hAnsi="Arial"/>
          <w:color w:val="404040"/>
          <w:sz w:val="22"/>
          <w:szCs w:val="22"/>
        </w:rPr>
        <w:t xml:space="preserve">Les données d'entrainement peuvent avoir des licences spécifiques que [NOM_ORGANISATION] doit respecter :</w:t>
      </w:r>
    </w:p>
    <w:p>
      <w:pPr>
        <w:pStyle w:val="ListParagraph"/>
        <w:numPr>
          <w:ilvl w:val="0"/>
          <w:numId w:val="2"/>
        </w:numPr>
      </w:pPr>
      <w:r>
        <w:rPr>
          <w:rFonts w:ascii="Arial" w:cs="Arial" w:eastAsia="Arial" w:hAnsi="Arial"/>
          <w:color w:val="404040"/>
          <w:sz w:val="22"/>
          <w:szCs w:val="22"/>
        </w:rPr>
        <w:t xml:space="preserve">Datasets sous licences Creative Commons (CC0, CC-BY, CC-BY-SA)</w:t>
      </w:r>
    </w:p>
    <w:p>
      <w:pPr>
        <w:pStyle w:val="ListParagraph"/>
        <w:numPr>
          <w:ilvl w:val="0"/>
          <w:numId w:val="2"/>
        </w:numPr>
      </w:pPr>
      <w:r>
        <w:rPr>
          <w:rFonts w:ascii="Arial" w:cs="Arial" w:eastAsia="Arial" w:hAnsi="Arial"/>
          <w:color w:val="404040"/>
          <w:sz w:val="22"/>
          <w:szCs w:val="22"/>
        </w:rPr>
        <w:t xml:space="preserve">Datasets sous licences open data (PDDL, CDLA)</w:t>
      </w:r>
    </w:p>
    <w:p>
      <w:pPr>
        <w:pStyle w:val="ListParagraph"/>
        <w:numPr>
          <w:ilvl w:val="0"/>
          <w:numId w:val="2"/>
        </w:numPr>
      </w:pPr>
      <w:r>
        <w:rPr>
          <w:rFonts w:ascii="Arial" w:cs="Arial" w:eastAsia="Arial" w:hAnsi="Arial"/>
          <w:color w:val="404040"/>
          <w:sz w:val="22"/>
          <w:szCs w:val="22"/>
        </w:rPr>
        <w:t xml:space="preserve">Datasets propriétaires avec accord de licence restrictif</w:t>
      </w:r>
    </w:p>
    <w:p>
      <w:pPr>
        <w:pStyle w:val="ListParagraph"/>
        <w:numPr>
          <w:ilvl w:val="0"/>
          <w:numId w:val="2"/>
        </w:numPr>
      </w:pPr>
      <w:r>
        <w:rPr>
          <w:rFonts w:ascii="Arial" w:cs="Arial" w:eastAsia="Arial" w:hAnsi="Arial"/>
          <w:color w:val="404040"/>
          <w:sz w:val="22"/>
          <w:szCs w:val="22"/>
        </w:rPr>
        <w:t xml:space="preserve">Données publiques sans licence explicite</w:t>
      </w:r>
    </w:p>
    <w:p>
      <w:pPr>
        <w:pStyle w:val="ListParagraph"/>
        <w:numPr>
          <w:ilvl w:val="0"/>
          <w:numId w:val="2"/>
        </w:numPr>
      </w:pPr>
      <w:r>
        <w:rPr>
          <w:rFonts w:ascii="Arial" w:cs="Arial" w:eastAsia="Arial" w:hAnsi="Arial"/>
          <w:color w:val="404040"/>
          <w:sz w:val="22"/>
          <w:szCs w:val="22"/>
        </w:rPr>
        <w:t xml:space="preserve">[NOM_ORGANISATION] doit évaluer la licence avant d'utiliser un dataset</w:t>
      </w:r>
    </w:p>
    <w:p>
      <w:pPr>
        <w:pStyle w:val="Heading2"/>
      </w:pPr>
      <w:r>
        <w:t xml:space="preserve">Attribution et reconnaissance</w:t>
      </w:r>
    </w:p>
    <w:p>
      <w:r>
        <w:rPr>
          <w:rFonts w:ascii="Arial" w:cs="Arial" w:eastAsia="Arial" w:hAnsi="Arial"/>
          <w:color w:val="404040"/>
          <w:sz w:val="22"/>
          <w:szCs w:val="22"/>
        </w:rPr>
        <w:t xml:space="preserve">Meme si une licence autorise l'utilisation de données, [NOM_ORGANISATION] doit reconnaître les auteurs, respecter les conditions d'attribution, documenter la source de chaque dataset, inclure les notices de licence dans la documentation du modèle, et communiquer les sources aux utilisateurs.</w:t>
      </w: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conformité PI</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gestion des licences et la conformité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Équipe juridique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Evalue les licences et conseille sur les obligations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Équipe technique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Maintient le tracking des dépendances et des licences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projets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Assuré que les projets respectent les politiques</w:t>
            </w:r>
          </w:p>
        </w:tc>
      </w:tr>
    </w:tbl>
    <w:p>
      <w:pPr>
        <w:spacing w:before="200"/>
      </w:pP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1 - Audit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Auditer toutes les licences actuelles et les dépendances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2 - Framework</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Développér les procèssus et les templates de gestion</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3 - Tools</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Implementer les outils de scanning et de tracking</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4 - Training</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Former les équipes sur les politiques de licence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5 - Monitoring</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Mettre en place le monitoring continu et les audits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[DATE_DEBUT_PHASE5]</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Licence open source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Licence accordant la liberte d'utiliser, de modifier et de distribuer un logiciel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Licence permissive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Licence avec peu de restrictions, permettant une large utilisation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Licence reciproque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Licence exigeant que les oeuvres derivees utilisent la meme licence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Fine-tuning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Adaptation d'un modèle preentrainé a un cas d'usage spécifique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Dépendance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Logiciel ou librairie dont un autre logiciel a besoin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SPDX</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Standard identifiér pour les licences open source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Politique de gestion des licences de modèles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2026-03-05T02:14:56.871Z</dcterms:created>
  <dcterms:modified xsi:type="dcterms:W3CDTF">2026-03-05T02:14:56.871Z</dcterms:modified>
</cp:coreProperties>
</file>

<file path=docProps/custom.xml><?xml version="1.0" encoding="utf-8"?>
<Properties xmlns="http://schemas.openxmlformats.org/officeDocument/2006/custom-properties" xmlns:vt="http://schemas.openxmlformats.org/officeDocument/2006/docPropsVTypes"/>
</file>