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Arial" w:cs="Arial" w:eastAsia="Arial" w:hAnsi="Arial"/>
          <w:color w:val="666666"/>
          <w:sz w:val="28"/>
          <w:szCs w:val="28"/>
        </w:rPr>
        <w:t xml:space="preserve">[NOM_ORGANISATION]</w:t>
      </w:r>
    </w:p>
    <w:p>
      <w:pPr>
        <w:pBdr>
          <w:bottom w:val="single" w:color="2E75B6" w:sz="8" w:space="8"/>
        </w:pBdr>
        <w:spacing w:after="100"/>
        <w:jc w:val="center"/>
      </w:pPr>
      <w:r>
        <w:rPr>
          <w:sz w:val="8"/>
          <w:szCs w:val="8"/>
        </w:rPr>
        <w:t xml:space="preserve"> </w:t>
      </w:r>
    </w:p>
    <w:p>
      <w:pPr>
        <w:spacing w:after="200" w:before="400"/>
        <w:jc w:val="center"/>
      </w:pPr>
      <w:r>
        <w:rPr>
          <w:rFonts w:ascii="Arial" w:cs="Arial" w:eastAsia="Arial" w:hAnsi="Arial"/>
          <w:b/>
          <w:bCs/>
          <w:color w:val="1B3A5C"/>
          <w:sz w:val="48"/>
          <w:szCs w:val="48"/>
        </w:rPr>
        <w:t xml:space="preserve">Critères de qualité des sorties IA</w:t>
      </w:r>
    </w:p>
    <w:p>
      <w:pPr>
        <w:spacing w:after="600"/>
        <w:jc w:val="center"/>
      </w:pPr>
      <w:r>
        <w:rPr>
          <w:rFonts w:ascii="Arial" w:cs="Arial" w:eastAsia="Arial" w:hAnsi="Arial"/>
          <w:color w:val="2E75B6"/>
          <w:sz w:val="24"/>
          <w:szCs w:val="24"/>
        </w:rPr>
        <w:t xml:space="preserve">Évaluation, acceptabilité et surveillance de la qualité</w:t>
      </w:r>
    </w:p>
    <w:p>
      <w:pPr>
        <w:pBdr>
          <w:top w:val="single" w:color="2E75B6" w:sz="8" w:space="8"/>
        </w:pBdr>
        <w:spacing w:after="100"/>
        <w:jc w:val="center"/>
      </w:pPr>
      <w:r>
        <w:rPr>
          <w:sz w:val="8"/>
          <w:szCs w:val="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Version</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[VERSION]</w:t>
            </w:r>
          </w:p>
        </w:tc>
      </w:tr>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Date</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[DATE_DOCUMENT]</w:t>
            </w:r>
          </w:p>
        </w:tc>
      </w:tr>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Classification</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Confidentiel</w:t>
            </w:r>
          </w:p>
        </w:tc>
      </w:tr>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Responsable</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[RESPONSABLE_DOCUMENT]</w:t>
            </w:r>
          </w:p>
        </w:tc>
      </w:tr>
    </w:tbl>
    <w:p>
      <w:r>
        <w:br w:type="page"/>
      </w:r>
    </w:p>
    <w:p>
      <w:pPr>
        <w:sectPr>
          <w:pgSz w:w="12240" w:h="15840" w:orient="portrait"/>
          <w:pgMar w:top="1440" w:right="1440" w:bottom="1440" w:left="1440" w:header="708" w:footer="708" w:gutter="0"/>
          <w:pgNumType/>
          <w:docGrid w:linePitch="360"/>
        </w:sectPr>
      </w:pPr>
    </w:p>
    <w:sdt>
      <w:sdtPr>
        <w:alias w:val="Table des matière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Contrôle du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Élément</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Nom</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Fonction</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Date</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[FONCTION_AUTEUR]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[DATE_CRÉATION]</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Réviseur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[NOM_RÉVISEUR]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[FONCTION_RÉVISEUR]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[DATE_RÉVISION]</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Approbateur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[NOM_APPROBATEUR]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[FONCTION_APPROBATEUR]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[DATE_APPROBATION]</w:t>
            </w:r>
          </w:p>
        </w:tc>
      </w:tr>
    </w:tbl>
    <w:p>
      <w:pPr>
        <w:spacing w:before="200"/>
      </w:pPr>
    </w:p>
    <w:p>
      <w:pPr>
        <w:pStyle w:val="Heading2"/>
      </w:pPr>
      <w:r>
        <w:t xml:space="preserve">Historique des versions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Version</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Date</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Auteur</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Description des modifications</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1.0</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[DATE_CRÉATION]</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Création initiale du document</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r>
    </w:tbl>
    <w:p>
      <w:r>
        <w:br w:type="page"/>
      </w:r>
    </w:p>
    <w:p>
      <w:pPr>
        <w:pStyle w:val="Heading1"/>
      </w:pPr>
      <w:r>
        <w:t xml:space="preserve">Cadre de référence</w:t>
      </w:r>
    </w:p>
    <w:p>
      <w:r>
        <w:rPr>
          <w:rFonts w:ascii="Arial" w:cs="Arial" w:eastAsia="Arial" w:hAnsi="Arial"/>
          <w:color w:val="404040"/>
          <w:sz w:val="22"/>
          <w:szCs w:val="22"/>
        </w:rPr>
        <w:t xml:space="preserve">Le présent document s'appuie sur les normes, lois et cadres de référence suivants :</w:t>
      </w:r>
    </w:p>
    <w:p>
      <w:pPr>
        <w:pStyle w:val="ListParagraph"/>
        <w:numPr>
          <w:ilvl w:val="0"/>
          <w:numId w:val="2"/>
        </w:numPr>
      </w:pPr>
      <w:r>
        <w:rPr>
          <w:rFonts w:ascii="Arial" w:cs="Arial" w:eastAsia="Arial" w:hAnsi="Arial"/>
          <w:color w:val="404040"/>
          <w:sz w:val="22"/>
          <w:szCs w:val="22"/>
        </w:rPr>
        <w:t xml:space="preserve">ISO/IEC 42001:2023 - Système de management de l'intelligence artificielle</w:t>
      </w:r>
    </w:p>
    <w:p>
      <w:pPr>
        <w:pStyle w:val="ListParagraph"/>
        <w:numPr>
          <w:ilvl w:val="0"/>
          <w:numId w:val="2"/>
        </w:numPr>
      </w:pPr>
      <w:r>
        <w:rPr>
          <w:rFonts w:ascii="Arial" w:cs="Arial" w:eastAsia="Arial" w:hAnsi="Arial"/>
          <w:color w:val="404040"/>
          <w:sz w:val="22"/>
          <w:szCs w:val="22"/>
        </w:rPr>
        <w:t xml:space="preserve">ISO/IEC 23894:2023 - Lignes directrices sur la gestion des risques liés à l'IA</w:t>
      </w:r>
    </w:p>
    <w:p>
      <w:pPr>
        <w:pStyle w:val="ListParagraph"/>
        <w:numPr>
          <w:ilvl w:val="0"/>
          <w:numId w:val="2"/>
        </w:numPr>
      </w:pPr>
      <w:r>
        <w:rPr>
          <w:rFonts w:ascii="Arial" w:cs="Arial" w:eastAsia="Arial" w:hAnsi="Arial"/>
          <w:color w:val="404040"/>
          <w:sz w:val="22"/>
          <w:szCs w:val="22"/>
        </w:rPr>
        <w:t xml:space="preserve">NIST AI Risk Management Framework (AI RMF 1.0)</w:t>
      </w:r>
    </w:p>
    <w:p>
      <w:pPr>
        <w:pStyle w:val="ListParagraph"/>
        <w:numPr>
          <w:ilvl w:val="0"/>
          <w:numId w:val="2"/>
        </w:numPr>
      </w:pPr>
      <w:r>
        <w:rPr>
          <w:rFonts w:ascii="Arial" w:cs="Arial" w:eastAsia="Arial" w:hAnsi="Arial"/>
          <w:color w:val="404040"/>
          <w:sz w:val="22"/>
          <w:szCs w:val="22"/>
        </w:rPr>
        <w:t xml:space="preserve">Loi 25 - Loi modernisant des dispositions législatives en matière de protection des renseignements personnels (Québec)</w:t>
      </w:r>
    </w:p>
    <w:p>
      <w:pPr>
        <w:pStyle w:val="ListParagraph"/>
        <w:numPr>
          <w:ilvl w:val="0"/>
          <w:numId w:val="2"/>
        </w:numPr>
      </w:pPr>
      <w:r>
        <w:rPr>
          <w:rFonts w:ascii="Arial" w:cs="Arial" w:eastAsia="Arial" w:hAnsi="Arial"/>
          <w:color w:val="404040"/>
          <w:sz w:val="22"/>
          <w:szCs w:val="22"/>
        </w:rPr>
        <w:t xml:space="preserve">Projet de loi C-27 - Loi sur l'intelligence artificielle et les données (LIAD) (Canada)</w:t>
      </w:r>
    </w:p>
    <w:p>
      <w:pPr>
        <w:pStyle w:val="ListParagraph"/>
        <w:numPr>
          <w:ilvl w:val="0"/>
          <w:numId w:val="2"/>
        </w:numPr>
      </w:pPr>
      <w:r>
        <w:rPr>
          <w:rFonts w:ascii="Arial" w:cs="Arial" w:eastAsia="Arial" w:hAnsi="Arial"/>
          <w:color w:val="404040"/>
          <w:sz w:val="22"/>
          <w:szCs w:val="22"/>
        </w:rPr>
        <w:t xml:space="preserve">Charte des droits et libertés de la personne du Québec</w:t>
      </w:r>
    </w:p>
    <w:p>
      <w:pPr>
        <w:pStyle w:val="ListParagraph"/>
        <w:numPr>
          <w:ilvl w:val="0"/>
          <w:numId w:val="2"/>
        </w:numPr>
      </w:pPr>
      <w:r>
        <w:rPr>
          <w:rFonts w:ascii="Arial" w:cs="Arial" w:eastAsia="Arial" w:hAnsi="Arial"/>
          <w:color w:val="404040"/>
          <w:sz w:val="22"/>
          <w:szCs w:val="22"/>
        </w:rPr>
        <w:t xml:space="preserve">Code civil du Québec - Responsabilité civile</w:t>
      </w:r>
    </w:p>
    <w:p>
      <w:pPr>
        <w:pStyle w:val="ListParagraph"/>
        <w:numPr>
          <w:ilvl w:val="0"/>
          <w:numId w:val="2"/>
        </w:numPr>
      </w:pPr>
      <w:r>
        <w:rPr>
          <w:rFonts w:ascii="Arial" w:cs="Arial" w:eastAsia="Arial" w:hAnsi="Arial"/>
          <w:color w:val="404040"/>
          <w:sz w:val="22"/>
          <w:szCs w:val="22"/>
        </w:rPr>
        <w:t xml:space="preserve">Recommandations du Conseil de l'innovation du Québec</w:t>
      </w:r>
    </w:p>
    <w:p>
      <w:pPr>
        <w:pStyle w:val="ListParagraph"/>
        <w:numPr>
          <w:ilvl w:val="0"/>
          <w:numId w:val="2"/>
        </w:numPr>
      </w:pPr>
      <w:r>
        <w:rPr>
          <w:rFonts w:ascii="Arial" w:cs="Arial" w:eastAsia="Arial" w:hAnsi="Arial"/>
          <w:color w:val="404040"/>
          <w:sz w:val="22"/>
          <w:szCs w:val="22"/>
        </w:rPr>
        <w:t xml:space="preserve">ISO/IEC 42001:2023 - Chapitre sur la qualité et la validation</w:t>
      </w:r>
    </w:p>
    <w:p>
      <w:pPr>
        <w:pStyle w:val="ListParagraph"/>
        <w:numPr>
          <w:ilvl w:val="0"/>
          <w:numId w:val="2"/>
        </w:numPr>
      </w:pPr>
      <w:r>
        <w:rPr>
          <w:rFonts w:ascii="Arial" w:cs="Arial" w:eastAsia="Arial" w:hAnsi="Arial"/>
          <w:color w:val="404040"/>
          <w:sz w:val="22"/>
          <w:szCs w:val="22"/>
        </w:rPr>
        <w:t xml:space="preserve">ISO/IEC 23894:2023 - Gestion des risques qualité</w:t>
      </w:r>
    </w:p>
    <w:p>
      <w:pPr>
        <w:pStyle w:val="ListParagraph"/>
        <w:numPr>
          <w:ilvl w:val="0"/>
          <w:numId w:val="2"/>
        </w:numPr>
      </w:pPr>
      <w:r>
        <w:rPr>
          <w:rFonts w:ascii="Arial" w:cs="Arial" w:eastAsia="Arial" w:hAnsi="Arial"/>
          <w:color w:val="404040"/>
          <w:sz w:val="22"/>
          <w:szCs w:val="22"/>
        </w:rPr>
        <w:t xml:space="preserve">NIST AI RMF 1.0 - Mesure et évaluation de la qualité</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8"/>
              <w:bottom w:val="single" w:color="2E75B6" w:sz="2"/>
              <w:right w:val="single" w:color="2E75B6" w:sz="2"/>
            </w:tcBorders>
            <w:shd w:fill="D5E8F0" w:val="clear"/>
            <w:tcMar>
              <w:top w:type="dxa" w:w="100"/>
              <w:left w:type="dxa" w:w="200"/>
              <w:bottom w:type="dxa" w:w="100"/>
              <w:right w:type="dxa" w:w="200"/>
            </w:tcMar>
          </w:tcPr>
          <w:p>
            <w:pPr>
              <w:spacing w:after="60"/>
            </w:pPr>
            <w:r>
              <w:rPr>
                <w:rFonts w:ascii="Arial" w:cs="Arial" w:eastAsia="Arial" w:hAnsi="Arial"/>
                <w:b/>
                <w:bCs/>
                <w:color w:val="1B3A5C"/>
                <w:sz w:val="20"/>
                <w:szCs w:val="20"/>
              </w:rPr>
              <w:t xml:space="preserve">Note sur le cadre juridique québécois</w:t>
            </w:r>
          </w:p>
          <w:p>
            <w:pPr>
              <w:spacing w:after="0"/>
            </w:pPr>
            <w:r>
              <w:rPr>
                <w:rFonts w:ascii="Arial" w:cs="Arial" w:eastAsia="Arial" w:hAnsi="Arial"/>
                <w:color w:val="404040"/>
                <w:sz w:val="20"/>
                <w:szCs w:val="20"/>
              </w:rPr>
              <w:t xml:space="preserve">Les organisations opérant au Québec sont assujetties à la Loi 25 (protection des renseignements personnels), à la législation fédérale canadienne (C-27/LIAD en cours d'adoption), ainsi qu'au Règlement européen sur l'IA (EU AI Act) si elles traitent des données de résidents de l'UE. Le présent document intègre ces exigences de manière harmonisée.</w:t>
            </w:r>
          </w:p>
        </w:tc>
      </w:tr>
    </w:tbl>
    <w:p>
      <w:pPr>
        <w:spacing w:before="200"/>
      </w:pPr>
    </w:p>
    <w:p>
      <w:pPr>
        <w:pStyle w:val="Heading1"/>
      </w:pPr>
      <w:r>
        <w:t xml:space="preserve">Objet et portée</w:t>
      </w:r>
    </w:p>
    <w:p>
      <w:r>
        <w:rPr>
          <w:rFonts w:ascii="Arial" w:cs="Arial" w:eastAsia="Arial" w:hAnsi="Arial"/>
          <w:color w:val="404040"/>
          <w:sz w:val="22"/>
          <w:szCs w:val="22"/>
        </w:rPr>
        <w:t xml:space="preserve">Le présent document établit un cadre complet pour évaluer et assurer la qualité des sorties générées par les systèmes d'intelligence artificielle au sein de [NOM_ORGANISATION].</w:t>
      </w:r>
    </w:p>
    <w:p>
      <w:r>
        <w:rPr>
          <w:rFonts w:ascii="Arial" w:cs="Arial" w:eastAsia="Arial" w:hAnsi="Arial"/>
          <w:color w:val="404040"/>
          <w:sz w:val="22"/>
          <w:szCs w:val="22"/>
        </w:rPr>
        <w:t xml:space="preserve">La qualité des sorties IA est un élément critique de la gouvernance de l'IA. Elle garantit que les recommendations, prédictions, ou contenus générés par les systèmes IA respectent des standards élevés et contribuent a la satisfaction des parties prenantes.</w:t>
      </w:r>
    </w:p>
    <w:p>
      <w:r>
        <w:rPr>
          <w:rFonts w:ascii="Arial" w:cs="Arial" w:eastAsia="Arial" w:hAnsi="Arial"/>
          <w:color w:val="404040"/>
          <w:sz w:val="22"/>
          <w:szCs w:val="22"/>
        </w:rPr>
        <w:t xml:space="preserve">Ce document s'applique a tous les systèmes d'IA opérationnels et en développement au sein de [NOM_ORGANISATION], indépendamment de leur secteur d'application ou de leur niveau de maturité.</w:t>
      </w:r>
    </w:p>
    <w:p>
      <w:pPr>
        <w:pStyle w:val="Heading2"/>
      </w:pPr>
      <w:r>
        <w:t xml:space="preserve">Définition et importance</w:t>
      </w:r>
    </w:p>
    <w:p>
      <w:r>
        <w:rPr>
          <w:rFonts w:ascii="Arial" w:cs="Arial" w:eastAsia="Arial" w:hAnsi="Arial"/>
          <w:color w:val="404040"/>
          <w:sz w:val="22"/>
          <w:szCs w:val="22"/>
        </w:rPr>
        <w:t xml:space="preserve">La qualité d'une sortie IA se définit comme le degré de conformité d'un résultat généré par un système d'IA aux critères de précision, pertinence, complétude, cohérence et actualité établis pour ce système.</w:t>
      </w:r>
    </w:p>
    <w:p>
      <w:r>
        <w:rPr>
          <w:rFonts w:ascii="Arial" w:cs="Arial" w:eastAsia="Arial" w:hAnsi="Arial"/>
          <w:color w:val="404040"/>
          <w:sz w:val="22"/>
          <w:szCs w:val="22"/>
        </w:rPr>
        <w:t xml:space="preserve">Une mauvaise qualité des sorties peut entraîner:</w:t>
      </w:r>
    </w:p>
    <w:p>
      <w:pPr>
        <w:pStyle w:val="ListParagraph"/>
        <w:numPr>
          <w:ilvl w:val="0"/>
          <w:numId w:val="2"/>
        </w:numPr>
      </w:pPr>
      <w:r>
        <w:rPr>
          <w:rFonts w:ascii="Arial" w:cs="Arial" w:eastAsia="Arial" w:hAnsi="Arial"/>
          <w:color w:val="404040"/>
          <w:sz w:val="22"/>
          <w:szCs w:val="22"/>
        </w:rPr>
        <w:t xml:space="preserve">Dégradation de la confiance des utilisateurs dans le système</w:t>
      </w:r>
    </w:p>
    <w:p>
      <w:pPr>
        <w:pStyle w:val="ListParagraph"/>
        <w:numPr>
          <w:ilvl w:val="0"/>
          <w:numId w:val="2"/>
        </w:numPr>
      </w:pPr>
      <w:r>
        <w:rPr>
          <w:rFonts w:ascii="Arial" w:cs="Arial" w:eastAsia="Arial" w:hAnsi="Arial"/>
          <w:color w:val="404040"/>
          <w:sz w:val="22"/>
          <w:szCs w:val="22"/>
        </w:rPr>
        <w:t xml:space="preserve">Prise de décisions inappropriées basées sur des données inexactes</w:t>
      </w:r>
    </w:p>
    <w:p>
      <w:pPr>
        <w:pStyle w:val="ListParagraph"/>
        <w:numPr>
          <w:ilvl w:val="0"/>
          <w:numId w:val="2"/>
        </w:numPr>
      </w:pPr>
      <w:r>
        <w:rPr>
          <w:rFonts w:ascii="Arial" w:cs="Arial" w:eastAsia="Arial" w:hAnsi="Arial"/>
          <w:color w:val="404040"/>
          <w:sz w:val="22"/>
          <w:szCs w:val="22"/>
        </w:rPr>
        <w:t xml:space="preserve">Non-conformite avec les obligations réglementaires (Loi 25, LIAD)</w:t>
      </w:r>
    </w:p>
    <w:p>
      <w:pPr>
        <w:pStyle w:val="ListParagraph"/>
        <w:numPr>
          <w:ilvl w:val="0"/>
          <w:numId w:val="2"/>
        </w:numPr>
      </w:pPr>
      <w:r>
        <w:rPr>
          <w:rFonts w:ascii="Arial" w:cs="Arial" w:eastAsia="Arial" w:hAnsi="Arial"/>
          <w:color w:val="404040"/>
          <w:sz w:val="22"/>
          <w:szCs w:val="22"/>
        </w:rPr>
        <w:t xml:space="preserve">Impact négatif sur les citoyens ou les clients (discriminations, préjudices)</w:t>
      </w:r>
    </w:p>
    <w:p>
      <w:pPr>
        <w:pStyle w:val="ListParagraph"/>
        <w:numPr>
          <w:ilvl w:val="0"/>
          <w:numId w:val="2"/>
        </w:numPr>
      </w:pPr>
      <w:r>
        <w:rPr>
          <w:rFonts w:ascii="Arial" w:cs="Arial" w:eastAsia="Arial" w:hAnsi="Arial"/>
          <w:color w:val="404040"/>
          <w:sz w:val="22"/>
          <w:szCs w:val="22"/>
        </w:rPr>
        <w:t xml:space="preserve">Augmentation des coûts opérationnels et des risques juridiques</w:t>
      </w:r>
    </w:p>
    <w:p>
      <w:pPr>
        <w:pStyle w:val="Heading1"/>
      </w:pPr>
      <w:r>
        <w:t xml:space="preserve">Dimensions de la qualité</w:t>
      </w:r>
    </w:p>
    <w:p>
      <w:r>
        <w:rPr>
          <w:rFonts w:ascii="Arial" w:cs="Arial" w:eastAsia="Arial" w:hAnsi="Arial"/>
          <w:color w:val="404040"/>
          <w:sz w:val="22"/>
          <w:szCs w:val="22"/>
        </w:rPr>
        <w:t xml:space="preserve">La qualité des sorties IA est évaluée selon six dimensions principales:</w:t>
      </w:r>
    </w:p>
    <w:p>
      <w:pPr>
        <w:pStyle w:val="Heading2"/>
      </w:pPr>
      <w:r>
        <w:t xml:space="preserve">1. Précision et exactitude</w:t>
      </w:r>
    </w:p>
    <w:p>
      <w:r>
        <w:rPr>
          <w:rFonts w:ascii="Arial" w:cs="Arial" w:eastAsia="Arial" w:hAnsi="Arial"/>
          <w:color w:val="404040"/>
          <w:sz w:val="22"/>
          <w:szCs w:val="22"/>
        </w:rPr>
        <w:t xml:space="preserve">La précision mesure le degré d'accord entre la sortie générée et la réalité observable ou la vérité établie.</w:t>
      </w:r>
    </w:p>
    <w:p>
      <w:r>
        <w:rPr>
          <w:rFonts w:ascii="Arial" w:cs="Arial" w:eastAsia="Arial" w:hAnsi="Arial"/>
          <w:color w:val="404040"/>
          <w:sz w:val="22"/>
          <w:szCs w:val="22"/>
        </w:rPr>
        <w:t xml:space="preserve">Métriques applicables:</w:t>
      </w:r>
    </w:p>
    <w:p>
      <w:pPr>
        <w:pStyle w:val="ListParagraph"/>
        <w:numPr>
          <w:ilvl w:val="0"/>
          <w:numId w:val="2"/>
        </w:numPr>
      </w:pPr>
      <w:r>
        <w:rPr>
          <w:rFonts w:ascii="Arial" w:cs="Arial" w:eastAsia="Arial" w:hAnsi="Arial"/>
          <w:color w:val="404040"/>
          <w:sz w:val="22"/>
          <w:szCs w:val="22"/>
        </w:rPr>
        <w:t xml:space="preserve">Taux d'exactitude globale: pourcentage de prédictions correctes</w:t>
      </w:r>
    </w:p>
    <w:p>
      <w:pPr>
        <w:pStyle w:val="ListParagraph"/>
        <w:numPr>
          <w:ilvl w:val="0"/>
          <w:numId w:val="2"/>
        </w:numPr>
      </w:pPr>
      <w:r>
        <w:rPr>
          <w:rFonts w:ascii="Arial" w:cs="Arial" w:eastAsia="Arial" w:hAnsi="Arial"/>
          <w:color w:val="404040"/>
          <w:sz w:val="22"/>
          <w:szCs w:val="22"/>
        </w:rPr>
        <w:t xml:space="preserve">Précision: % de prédictions positives correctes parmi toutes les prédictions positives</w:t>
      </w:r>
    </w:p>
    <w:p>
      <w:pPr>
        <w:pStyle w:val="ListParagraph"/>
        <w:numPr>
          <w:ilvl w:val="0"/>
          <w:numId w:val="2"/>
        </w:numPr>
      </w:pPr>
      <w:r>
        <w:rPr>
          <w:rFonts w:ascii="Arial" w:cs="Arial" w:eastAsia="Arial" w:hAnsi="Arial"/>
          <w:color w:val="404040"/>
          <w:sz w:val="22"/>
          <w:szCs w:val="22"/>
        </w:rPr>
        <w:t xml:space="preserve">Rappel: % de vrais positifs identifiés parmi tous les cas positifs réels</w:t>
      </w:r>
    </w:p>
    <w:p>
      <w:pPr>
        <w:pStyle w:val="ListParagraph"/>
        <w:numPr>
          <w:ilvl w:val="0"/>
          <w:numId w:val="2"/>
        </w:numPr>
      </w:pPr>
      <w:r>
        <w:rPr>
          <w:rFonts w:ascii="Arial" w:cs="Arial" w:eastAsia="Arial" w:hAnsi="Arial"/>
          <w:color w:val="404040"/>
          <w:sz w:val="22"/>
          <w:szCs w:val="22"/>
        </w:rPr>
        <w:t xml:space="preserve">Score F1: moyenne harmonique de la précision et du rappel</w:t>
      </w:r>
    </w:p>
    <w:p>
      <w:pPr>
        <w:pStyle w:val="ListParagraph"/>
        <w:numPr>
          <w:ilvl w:val="0"/>
          <w:numId w:val="2"/>
        </w:numPr>
      </w:pPr>
      <w:r>
        <w:rPr>
          <w:rFonts w:ascii="Arial" w:cs="Arial" w:eastAsia="Arial" w:hAnsi="Arial"/>
          <w:color w:val="404040"/>
          <w:sz w:val="22"/>
          <w:szCs w:val="22"/>
        </w:rPr>
        <w:t xml:space="preserve">Erreur absolue moyenne (MAE) pour les modèles de régression</w:t>
      </w:r>
    </w:p>
    <w:p>
      <w:pPr>
        <w:pStyle w:val="ListParagraph"/>
        <w:numPr>
          <w:ilvl w:val="0"/>
          <w:numId w:val="2"/>
        </w:numPr>
      </w:pPr>
      <w:r>
        <w:rPr>
          <w:rFonts w:ascii="Arial" w:cs="Arial" w:eastAsia="Arial" w:hAnsi="Arial"/>
          <w:color w:val="404040"/>
          <w:sz w:val="22"/>
          <w:szCs w:val="22"/>
        </w:rPr>
        <w:t xml:space="preserve">Racine de l'erreur quadratique moyenne (RMSE) pour les problèmes continus</w:t>
      </w:r>
    </w:p>
    <w:p>
      <w:pPr>
        <w:pStyle w:val="Heading2"/>
      </w:pPr>
      <w:r>
        <w:t xml:space="preserve">2. Pertinence et utilité</w:t>
      </w:r>
    </w:p>
    <w:p>
      <w:r>
        <w:rPr>
          <w:rFonts w:ascii="Arial" w:cs="Arial" w:eastAsia="Arial" w:hAnsi="Arial"/>
          <w:color w:val="404040"/>
          <w:sz w:val="22"/>
          <w:szCs w:val="22"/>
        </w:rPr>
        <w:t xml:space="preserve">La pertinence détermine si la sortie IA repond réellement a la question ou au besoin formulé par l'utilisateur ou le système qui la consomme.</w:t>
      </w:r>
    </w:p>
    <w:p>
      <w:r>
        <w:rPr>
          <w:rFonts w:ascii="Arial" w:cs="Arial" w:eastAsia="Arial" w:hAnsi="Arial"/>
          <w:color w:val="404040"/>
          <w:sz w:val="22"/>
          <w:szCs w:val="22"/>
        </w:rPr>
        <w:t xml:space="preserve">Métriques applicables:</w:t>
      </w:r>
    </w:p>
    <w:p>
      <w:pPr>
        <w:pStyle w:val="ListParagraph"/>
        <w:numPr>
          <w:ilvl w:val="0"/>
          <w:numId w:val="2"/>
        </w:numPr>
      </w:pPr>
      <w:r>
        <w:rPr>
          <w:rFonts w:ascii="Arial" w:cs="Arial" w:eastAsia="Arial" w:hAnsi="Arial"/>
          <w:color w:val="404040"/>
          <w:sz w:val="22"/>
          <w:szCs w:val="22"/>
        </w:rPr>
        <w:t xml:space="preserve">Score de correspondance avec l'intention de recherche</w:t>
      </w:r>
    </w:p>
    <w:p>
      <w:pPr>
        <w:pStyle w:val="ListParagraph"/>
        <w:numPr>
          <w:ilvl w:val="0"/>
          <w:numId w:val="2"/>
        </w:numPr>
      </w:pPr>
      <w:r>
        <w:rPr>
          <w:rFonts w:ascii="Arial" w:cs="Arial" w:eastAsia="Arial" w:hAnsi="Arial"/>
          <w:color w:val="404040"/>
          <w:sz w:val="22"/>
          <w:szCs w:val="22"/>
        </w:rPr>
        <w:t xml:space="preserve">Feedback utilisateur sur la pertinence (enquêtes de satisfaction)</w:t>
      </w:r>
    </w:p>
    <w:p>
      <w:pPr>
        <w:pStyle w:val="ListParagraph"/>
        <w:numPr>
          <w:ilvl w:val="0"/>
          <w:numId w:val="2"/>
        </w:numPr>
      </w:pPr>
      <w:r>
        <w:rPr>
          <w:rFonts w:ascii="Arial" w:cs="Arial" w:eastAsia="Arial" w:hAnsi="Arial"/>
          <w:color w:val="404040"/>
          <w:sz w:val="22"/>
          <w:szCs w:val="22"/>
        </w:rPr>
        <w:t xml:space="preserve">Taux de consultation ou d'utilisation effective de la sortie</w:t>
      </w:r>
    </w:p>
    <w:p>
      <w:pPr>
        <w:pStyle w:val="ListParagraph"/>
        <w:numPr>
          <w:ilvl w:val="0"/>
          <w:numId w:val="2"/>
        </w:numPr>
      </w:pPr>
      <w:r>
        <w:rPr>
          <w:rFonts w:ascii="Arial" w:cs="Arial" w:eastAsia="Arial" w:hAnsi="Arial"/>
          <w:color w:val="404040"/>
          <w:sz w:val="22"/>
          <w:szCs w:val="22"/>
        </w:rPr>
        <w:t xml:space="preserve">Analyse qualitative par des experts métier</w:t>
      </w:r>
    </w:p>
    <w:p>
      <w:pPr>
        <w:pStyle w:val="Heading2"/>
      </w:pPr>
      <w:r>
        <w:t xml:space="preserve">3. Complétude et cohérence</w:t>
      </w:r>
    </w:p>
    <w:p>
      <w:r>
        <w:rPr>
          <w:rFonts w:ascii="Arial" w:cs="Arial" w:eastAsia="Arial" w:hAnsi="Arial"/>
          <w:color w:val="404040"/>
          <w:sz w:val="22"/>
          <w:szCs w:val="22"/>
        </w:rPr>
        <w:t xml:space="preserve">La complétude signifie que la sortie contient toutes les informations nécessaires pour que l'utilisateur comprenne et agisse sur la base du résultat.</w:t>
      </w:r>
    </w:p>
    <w:p>
      <w:r>
        <w:rPr>
          <w:rFonts w:ascii="Arial" w:cs="Arial" w:eastAsia="Arial" w:hAnsi="Arial"/>
          <w:color w:val="404040"/>
          <w:sz w:val="22"/>
          <w:szCs w:val="22"/>
        </w:rPr>
        <w:t xml:space="preserve">La cohérence indique que les différentes parties de la sortie sont logiquement connectées et sans contradictions internes.</w:t>
      </w:r>
    </w:p>
    <w:p>
      <w:r>
        <w:rPr>
          <w:rFonts w:ascii="Arial" w:cs="Arial" w:eastAsia="Arial" w:hAnsi="Arial"/>
          <w:color w:val="404040"/>
          <w:sz w:val="22"/>
          <w:szCs w:val="22"/>
        </w:rPr>
        <w:t xml:space="preserve">Métriques applicables:</w:t>
      </w:r>
    </w:p>
    <w:p>
      <w:pPr>
        <w:pStyle w:val="ListParagraph"/>
        <w:numPr>
          <w:ilvl w:val="0"/>
          <w:numId w:val="2"/>
        </w:numPr>
      </w:pPr>
      <w:r>
        <w:rPr>
          <w:rFonts w:ascii="Arial" w:cs="Arial" w:eastAsia="Arial" w:hAnsi="Arial"/>
          <w:color w:val="404040"/>
          <w:sz w:val="22"/>
          <w:szCs w:val="22"/>
        </w:rPr>
        <w:t xml:space="preserve">Présence/absence de champs ou attributs obligatoires</w:t>
      </w:r>
    </w:p>
    <w:p>
      <w:pPr>
        <w:pStyle w:val="ListParagraph"/>
        <w:numPr>
          <w:ilvl w:val="0"/>
          <w:numId w:val="2"/>
        </w:numPr>
      </w:pPr>
      <w:r>
        <w:rPr>
          <w:rFonts w:ascii="Arial" w:cs="Arial" w:eastAsia="Arial" w:hAnsi="Arial"/>
          <w:color w:val="404040"/>
          <w:sz w:val="22"/>
          <w:szCs w:val="22"/>
        </w:rPr>
        <w:t xml:space="preserve">Vérification de la cohérence logique (tests de règles métier)</w:t>
      </w:r>
    </w:p>
    <w:p>
      <w:pPr>
        <w:pStyle w:val="ListParagraph"/>
        <w:numPr>
          <w:ilvl w:val="0"/>
          <w:numId w:val="2"/>
        </w:numPr>
      </w:pPr>
      <w:r>
        <w:rPr>
          <w:rFonts w:ascii="Arial" w:cs="Arial" w:eastAsia="Arial" w:hAnsi="Arial"/>
          <w:color w:val="404040"/>
          <w:sz w:val="22"/>
          <w:szCs w:val="22"/>
        </w:rPr>
        <w:t xml:space="preserve">Longueur et couverture du contenu généré (pour les systèmes génératifs)</w:t>
      </w:r>
    </w:p>
    <w:p>
      <w:pPr>
        <w:pStyle w:val="ListParagraph"/>
        <w:numPr>
          <w:ilvl w:val="0"/>
          <w:numId w:val="2"/>
        </w:numPr>
      </w:pPr>
      <w:r>
        <w:rPr>
          <w:rFonts w:ascii="Arial" w:cs="Arial" w:eastAsia="Arial" w:hAnsi="Arial"/>
          <w:color w:val="404040"/>
          <w:sz w:val="22"/>
          <w:szCs w:val="22"/>
        </w:rPr>
        <w:t xml:space="preserve">Détection de contradictions internes ou de déclarations conflictuelles</w:t>
      </w:r>
    </w:p>
    <w:p>
      <w:pPr>
        <w:pStyle w:val="Heading2"/>
      </w:pPr>
      <w:r>
        <w:t xml:space="preserve">4. Actualité et fraîcheur</w:t>
      </w:r>
    </w:p>
    <w:p>
      <w:r>
        <w:rPr>
          <w:rFonts w:ascii="Arial" w:cs="Arial" w:eastAsia="Arial" w:hAnsi="Arial"/>
          <w:color w:val="404040"/>
          <w:sz w:val="22"/>
          <w:szCs w:val="22"/>
        </w:rPr>
        <w:t xml:space="preserve">L'actualité garantit que les données et les modèles utilisés pour générér les sorties reflètent l'etat récent du monde ou du domaine pertinent.</w:t>
      </w:r>
    </w:p>
    <w:p>
      <w:r>
        <w:rPr>
          <w:rFonts w:ascii="Arial" w:cs="Arial" w:eastAsia="Arial" w:hAnsi="Arial"/>
          <w:color w:val="404040"/>
          <w:sz w:val="22"/>
          <w:szCs w:val="22"/>
        </w:rPr>
        <w:t xml:space="preserve">Métriques applicables:</w:t>
      </w:r>
    </w:p>
    <w:p>
      <w:pPr>
        <w:pStyle w:val="ListParagraph"/>
        <w:numPr>
          <w:ilvl w:val="0"/>
          <w:numId w:val="2"/>
        </w:numPr>
      </w:pPr>
      <w:r>
        <w:rPr>
          <w:rFonts w:ascii="Arial" w:cs="Arial" w:eastAsia="Arial" w:hAnsi="Arial"/>
          <w:color w:val="404040"/>
          <w:sz w:val="22"/>
          <w:szCs w:val="22"/>
        </w:rPr>
        <w:t xml:space="preserve">Délai depuis le dernier entraînement ou mise a jour du modele</w:t>
      </w:r>
    </w:p>
    <w:p>
      <w:pPr>
        <w:pStyle w:val="ListParagraph"/>
        <w:numPr>
          <w:ilvl w:val="0"/>
          <w:numId w:val="2"/>
        </w:numPr>
      </w:pPr>
      <w:r>
        <w:rPr>
          <w:rFonts w:ascii="Arial" w:cs="Arial" w:eastAsia="Arial" w:hAnsi="Arial"/>
          <w:color w:val="404040"/>
          <w:sz w:val="22"/>
          <w:szCs w:val="22"/>
        </w:rPr>
        <w:t xml:space="preserve">Délai depuis la dernière actualisation des données de référence</w:t>
      </w:r>
    </w:p>
    <w:p>
      <w:pPr>
        <w:pStyle w:val="ListParagraph"/>
        <w:numPr>
          <w:ilvl w:val="0"/>
          <w:numId w:val="2"/>
        </w:numPr>
      </w:pPr>
      <w:r>
        <w:rPr>
          <w:rFonts w:ascii="Arial" w:cs="Arial" w:eastAsia="Arial" w:hAnsi="Arial"/>
          <w:color w:val="404040"/>
          <w:sz w:val="22"/>
          <w:szCs w:val="22"/>
        </w:rPr>
        <w:t xml:space="preserve">Comparaison avec des sources d'information externes pour la validité des faits</w:t>
      </w:r>
    </w:p>
    <w:p>
      <w:pPr>
        <w:pStyle w:val="Heading2"/>
      </w:pPr>
      <w:r>
        <w:t xml:space="preserve">5. Absence de biais et d'équité</w:t>
      </w:r>
    </w:p>
    <w:p>
      <w:r>
        <w:rPr>
          <w:rFonts w:ascii="Arial" w:cs="Arial" w:eastAsia="Arial" w:hAnsi="Arial"/>
          <w:color w:val="404040"/>
          <w:sz w:val="22"/>
          <w:szCs w:val="22"/>
        </w:rPr>
        <w:t xml:space="preserve">Cette dimension vérifie que le système IA ne discrimine pas de manière injuste certains groupes d'utilisateurs ou de sujets, conformément aux exigences de la Loi 25 et de la Charte des droits et libertés du Québec.</w:t>
      </w:r>
    </w:p>
    <w:p>
      <w:r>
        <w:rPr>
          <w:rFonts w:ascii="Arial" w:cs="Arial" w:eastAsia="Arial" w:hAnsi="Arial"/>
          <w:color w:val="404040"/>
          <w:sz w:val="22"/>
          <w:szCs w:val="22"/>
        </w:rPr>
        <w:t xml:space="preserve">Métriques applicables:</w:t>
      </w:r>
    </w:p>
    <w:p>
      <w:pPr>
        <w:pStyle w:val="ListParagraph"/>
        <w:numPr>
          <w:ilvl w:val="0"/>
          <w:numId w:val="2"/>
        </w:numPr>
      </w:pPr>
      <w:r>
        <w:rPr>
          <w:rFonts w:ascii="Arial" w:cs="Arial" w:eastAsia="Arial" w:hAnsi="Arial"/>
          <w:color w:val="404040"/>
          <w:sz w:val="22"/>
          <w:szCs w:val="22"/>
        </w:rPr>
        <w:t xml:space="preserve">Analyse comparée des performances par groupe démographique (genre, âge, origine, etc.)</w:t>
      </w:r>
    </w:p>
    <w:p>
      <w:pPr>
        <w:pStyle w:val="ListParagraph"/>
        <w:numPr>
          <w:ilvl w:val="0"/>
          <w:numId w:val="2"/>
        </w:numPr>
      </w:pPr>
      <w:r>
        <w:rPr>
          <w:rFonts w:ascii="Arial" w:cs="Arial" w:eastAsia="Arial" w:hAnsi="Arial"/>
          <w:color w:val="404040"/>
          <w:sz w:val="22"/>
          <w:szCs w:val="22"/>
        </w:rPr>
        <w:t xml:space="preserve">Coefficient de variation: différence entre les taux de précision pour differents groupes</w:t>
      </w:r>
    </w:p>
    <w:p>
      <w:pPr>
        <w:pStyle w:val="ListParagraph"/>
        <w:numPr>
          <w:ilvl w:val="0"/>
          <w:numId w:val="2"/>
        </w:numPr>
      </w:pPr>
      <w:r>
        <w:rPr>
          <w:rFonts w:ascii="Arial" w:cs="Arial" w:eastAsia="Arial" w:hAnsi="Arial"/>
          <w:color w:val="404040"/>
          <w:sz w:val="22"/>
          <w:szCs w:val="22"/>
        </w:rPr>
        <w:t xml:space="preserve">Disparate impact ratio: probabilité de résultat positif pour un groupe vs. un autre</w:t>
      </w:r>
    </w:p>
    <w:p>
      <w:pPr>
        <w:pStyle w:val="ListParagraph"/>
        <w:numPr>
          <w:ilvl w:val="0"/>
          <w:numId w:val="2"/>
        </w:numPr>
      </w:pPr>
      <w:r>
        <w:rPr>
          <w:rFonts w:ascii="Arial" w:cs="Arial" w:eastAsia="Arial" w:hAnsi="Arial"/>
          <w:color w:val="404040"/>
          <w:sz w:val="22"/>
          <w:szCs w:val="22"/>
        </w:rPr>
        <w:t xml:space="preserve">Score d'équité calibrée ou de parité démographique</w:t>
      </w:r>
    </w:p>
    <w:p>
      <w:pPr>
        <w:pStyle w:val="Heading2"/>
      </w:pPr>
      <w:r>
        <w:t xml:space="preserve">6. Traçabilite et explicabilité</w:t>
      </w:r>
    </w:p>
    <w:p>
      <w:r>
        <w:rPr>
          <w:rFonts w:ascii="Arial" w:cs="Arial" w:eastAsia="Arial" w:hAnsi="Arial"/>
          <w:color w:val="404040"/>
          <w:sz w:val="22"/>
          <w:szCs w:val="22"/>
        </w:rPr>
        <w:t xml:space="preserve">Les sorties doivent etre accompagnées d'informations permettant de comprendre comment le résultat a ete généré et de retracer le chemin logique qui y a mené.</w:t>
      </w:r>
    </w:p>
    <w:p>
      <w:r>
        <w:rPr>
          <w:rFonts w:ascii="Arial" w:cs="Arial" w:eastAsia="Arial" w:hAnsi="Arial"/>
          <w:color w:val="404040"/>
          <w:sz w:val="22"/>
          <w:szCs w:val="22"/>
        </w:rPr>
        <w:t xml:space="preserve">Métriques applicables:</w:t>
      </w:r>
    </w:p>
    <w:p>
      <w:pPr>
        <w:pStyle w:val="ListParagraph"/>
        <w:numPr>
          <w:ilvl w:val="0"/>
          <w:numId w:val="2"/>
        </w:numPr>
      </w:pPr>
      <w:r>
        <w:rPr>
          <w:rFonts w:ascii="Arial" w:cs="Arial" w:eastAsia="Arial" w:hAnsi="Arial"/>
          <w:color w:val="404040"/>
          <w:sz w:val="22"/>
          <w:szCs w:val="22"/>
        </w:rPr>
        <w:t xml:space="preserve">Présence d'une justification ou d'une explication de la sortie</w:t>
      </w:r>
    </w:p>
    <w:p>
      <w:pPr>
        <w:pStyle w:val="ListParagraph"/>
        <w:numPr>
          <w:ilvl w:val="0"/>
          <w:numId w:val="2"/>
        </w:numPr>
      </w:pPr>
      <w:r>
        <w:rPr>
          <w:rFonts w:ascii="Arial" w:cs="Arial" w:eastAsia="Arial" w:hAnsi="Arial"/>
          <w:color w:val="404040"/>
          <w:sz w:val="22"/>
          <w:szCs w:val="22"/>
        </w:rPr>
        <w:t xml:space="preserve">Score de fidélité de l'explication par rapport au comportement réel du modele</w:t>
      </w:r>
    </w:p>
    <w:p>
      <w:pPr>
        <w:pStyle w:val="ListParagraph"/>
        <w:numPr>
          <w:ilvl w:val="0"/>
          <w:numId w:val="2"/>
        </w:numPr>
      </w:pPr>
      <w:r>
        <w:rPr>
          <w:rFonts w:ascii="Arial" w:cs="Arial" w:eastAsia="Arial" w:hAnsi="Arial"/>
          <w:color w:val="404040"/>
          <w:sz w:val="22"/>
          <w:szCs w:val="22"/>
        </w:rPr>
        <w:t xml:space="preserve">Identification des données d'entree contributives au résultat</w:t>
      </w:r>
    </w:p>
    <w:p>
      <w:pPr>
        <w:pStyle w:val="ListParagraph"/>
        <w:numPr>
          <w:ilvl w:val="0"/>
          <w:numId w:val="2"/>
        </w:numPr>
      </w:pPr>
      <w:r>
        <w:rPr>
          <w:rFonts w:ascii="Arial" w:cs="Arial" w:eastAsia="Arial" w:hAnsi="Arial"/>
          <w:color w:val="404040"/>
          <w:sz w:val="22"/>
          <w:szCs w:val="22"/>
        </w:rPr>
        <w:t xml:space="preserve">Niveau de détails de la traçabilité (sufficient pour un audit)</w:t>
      </w:r>
    </w:p>
    <w:p>
      <w:pPr>
        <w:pStyle w:val="Heading1"/>
      </w:pPr>
      <w:r>
        <w:t xml:space="preserve">Niveaux d'acceptabilité</w:t>
      </w:r>
    </w:p>
    <w:p>
      <w:r>
        <w:rPr>
          <w:rFonts w:ascii="Arial" w:cs="Arial" w:eastAsia="Arial" w:hAnsi="Arial"/>
          <w:color w:val="404040"/>
          <w:sz w:val="22"/>
          <w:szCs w:val="22"/>
        </w:rPr>
        <w:t xml:space="preserve">Pour chaque dimension de qualité, [NOM_ORGANISATION] définit des seuils minimums d'acceptabilité. Ces seuils varient en fonction du contexte de la sortie 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286"/>
        <w:gridCol w:w="2287"/>
        <w:gridCol w:w="2287"/>
      </w:tblGrid>
      <w:tr>
        <w:tc>
          <w:tcPr>
            <w:tcW w:type="dxa" w:w="2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Contexte d'usage</w:t>
            </w:r>
          </w:p>
        </w:tc>
        <w:tc>
          <w:tcPr>
            <w:tcW w:type="dxa" w:w="228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Seuil minimum de précision</w:t>
            </w:r>
          </w:p>
        </w:tc>
        <w:tc>
          <w:tcPr>
            <w:tcW w:type="dxa" w:w="2287"/>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Seuil minimum de complétude</w:t>
            </w:r>
          </w:p>
        </w:tc>
        <w:tc>
          <w:tcPr>
            <w:tcW w:type="dxa" w:w="2287"/>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Exigence d'explicabilité</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Recommendations informatives (aide a la decision)</w:t>
            </w:r>
          </w:p>
        </w:tc>
        <w:tc>
          <w:tcPr>
            <w:tcW w:type="dxa" w:w="228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75%</w:t>
            </w:r>
          </w:p>
        </w:tc>
        <w:tc>
          <w:tcPr>
            <w:tcW w:type="dxa" w:w="228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80%</w:t>
            </w:r>
          </w:p>
        </w:tc>
        <w:tc>
          <w:tcPr>
            <w:tcW w:type="dxa" w:w="228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Modere (justification de haut niveau)</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Decisions opérationnelles courantes</w:t>
            </w:r>
          </w:p>
        </w:tc>
        <w:tc>
          <w:tcPr>
            <w:tcW w:type="dxa" w:w="228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85%</w:t>
            </w:r>
          </w:p>
        </w:tc>
        <w:tc>
          <w:tcPr>
            <w:tcW w:type="dxa" w:w="228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90%</w:t>
            </w:r>
          </w:p>
        </w:tc>
        <w:tc>
          <w:tcPr>
            <w:tcW w:type="dxa" w:w="228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Élevée (explication détaillée)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Decisions impactant directement les citoyens</w:t>
            </w:r>
          </w:p>
        </w:tc>
        <w:tc>
          <w:tcPr>
            <w:tcW w:type="dxa" w:w="228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95%</w:t>
            </w:r>
          </w:p>
        </w:tc>
        <w:tc>
          <w:tcPr>
            <w:tcW w:type="dxa" w:w="228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95%</w:t>
            </w:r>
          </w:p>
        </w:tc>
        <w:tc>
          <w:tcPr>
            <w:tcW w:type="dxa" w:w="228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Très elevee (pleine traçabilité)</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Decisions avec impacts juridiques ou financiers majeurs</w:t>
            </w:r>
          </w:p>
        </w:tc>
        <w:tc>
          <w:tcPr>
            <w:tcW w:type="dxa" w:w="228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98%</w:t>
            </w:r>
          </w:p>
        </w:tc>
        <w:tc>
          <w:tcPr>
            <w:tcW w:type="dxa" w:w="228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98%</w:t>
            </w:r>
          </w:p>
        </w:tc>
        <w:tc>
          <w:tcPr>
            <w:tcW w:type="dxa" w:w="228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Maximale (explicabilité complete)</w:t>
            </w:r>
          </w:p>
        </w:tc>
      </w:tr>
    </w:tbl>
    <w:p>
      <w:pPr>
        <w:pStyle w:val="Heading1"/>
      </w:pPr>
      <w:r>
        <w:t xml:space="preserve">Méthodes de validation et de test</w:t>
      </w:r>
    </w:p>
    <w:p>
      <w:pPr>
        <w:pStyle w:val="Heading2"/>
      </w:pPr>
      <w:r>
        <w:t xml:space="preserve">Tests de précision avant déploiement</w:t>
      </w:r>
    </w:p>
    <w:p>
      <w:r>
        <w:rPr>
          <w:rFonts w:ascii="Arial" w:cs="Arial" w:eastAsia="Arial" w:hAnsi="Arial"/>
          <w:color w:val="404040"/>
          <w:sz w:val="22"/>
          <w:szCs w:val="22"/>
        </w:rPr>
        <w:t xml:space="preserve">Avant qu'un système IA ne soit mis en production, la qualité de ses sorties doit etre rigoureusement testée:</w:t>
      </w:r>
    </w:p>
    <w:p>
      <w:pPr>
        <w:pStyle w:val="ListParagraph"/>
        <w:numPr>
          <w:ilvl w:val="0"/>
          <w:numId w:val="3"/>
        </w:numPr>
      </w:pPr>
      <w:r>
        <w:rPr>
          <w:rFonts w:ascii="Arial" w:cs="Arial" w:eastAsia="Arial" w:hAnsi="Arial"/>
          <w:color w:val="404040"/>
          <w:sz w:val="22"/>
          <w:szCs w:val="22"/>
        </w:rPr>
        <w:t xml:space="preserve">Constitution d'un ensemble de test représentatif (test set) contenant au moins 500 exemples pour les modèles critiques</w:t>
      </w:r>
    </w:p>
    <w:p>
      <w:pPr>
        <w:pStyle w:val="ListParagraph"/>
        <w:numPr>
          <w:ilvl w:val="0"/>
          <w:numId w:val="3"/>
        </w:numPr>
      </w:pPr>
      <w:r>
        <w:rPr>
          <w:rFonts w:ascii="Arial" w:cs="Arial" w:eastAsia="Arial" w:hAnsi="Arial"/>
          <w:color w:val="404040"/>
          <w:sz w:val="22"/>
          <w:szCs w:val="22"/>
        </w:rPr>
        <w:t xml:space="preserve">Évaluation des métriques de précision (précision, rappel, F1, MAE/RMSE selon le type)</w:t>
      </w:r>
    </w:p>
    <w:p>
      <w:pPr>
        <w:pStyle w:val="ListParagraph"/>
        <w:numPr>
          <w:ilvl w:val="0"/>
          <w:numId w:val="3"/>
        </w:numPr>
      </w:pPr>
      <w:r>
        <w:rPr>
          <w:rFonts w:ascii="Arial" w:cs="Arial" w:eastAsia="Arial" w:hAnsi="Arial"/>
          <w:color w:val="404040"/>
          <w:sz w:val="22"/>
          <w:szCs w:val="22"/>
        </w:rPr>
        <w:t xml:space="preserve">Analyse comparative des performances par segment ou groupe démographique</w:t>
      </w:r>
    </w:p>
    <w:p>
      <w:pPr>
        <w:pStyle w:val="ListParagraph"/>
        <w:numPr>
          <w:ilvl w:val="0"/>
          <w:numId w:val="3"/>
        </w:numPr>
      </w:pPr>
      <w:r>
        <w:rPr>
          <w:rFonts w:ascii="Arial" w:cs="Arial" w:eastAsia="Arial" w:hAnsi="Arial"/>
          <w:color w:val="404040"/>
          <w:sz w:val="22"/>
          <w:szCs w:val="22"/>
        </w:rPr>
        <w:t xml:space="preserve">Validation par des experts métier sur un échantillon qualitatif</w:t>
      </w:r>
    </w:p>
    <w:p>
      <w:pPr>
        <w:pStyle w:val="ListParagraph"/>
        <w:numPr>
          <w:ilvl w:val="0"/>
          <w:numId w:val="3"/>
        </w:numPr>
      </w:pPr>
      <w:r>
        <w:rPr>
          <w:rFonts w:ascii="Arial" w:cs="Arial" w:eastAsia="Arial" w:hAnsi="Arial"/>
          <w:color w:val="404040"/>
          <w:sz w:val="22"/>
          <w:szCs w:val="22"/>
        </w:rPr>
        <w:t xml:space="preserve">Documentation des résultats et définition des seuils d'acceptabilité spécifiques au contexte</w:t>
      </w:r>
    </w:p>
    <w:p>
      <w:pPr>
        <w:pStyle w:val="ListParagraph"/>
        <w:numPr>
          <w:ilvl w:val="0"/>
          <w:numId w:val="3"/>
        </w:numPr>
      </w:pPr>
      <w:r>
        <w:rPr>
          <w:rFonts w:ascii="Arial" w:cs="Arial" w:eastAsia="Arial" w:hAnsi="Arial"/>
          <w:color w:val="404040"/>
          <w:sz w:val="22"/>
          <w:szCs w:val="22"/>
        </w:rPr>
        <w:t xml:space="preserve">Approbation formelle du système par [RESPONSABLE_IA] et [DPO] avant le déploiement</w:t>
      </w:r>
    </w:p>
    <w:p>
      <w:pPr>
        <w:pStyle w:val="Heading2"/>
      </w:pPr>
      <w:r>
        <w:t xml:space="preserve">Surveillance continue en production</w:t>
      </w:r>
    </w:p>
    <w:p>
      <w:r>
        <w:rPr>
          <w:rFonts w:ascii="Arial" w:cs="Arial" w:eastAsia="Arial" w:hAnsi="Arial"/>
          <w:color w:val="404040"/>
          <w:sz w:val="22"/>
          <w:szCs w:val="22"/>
        </w:rPr>
        <w:t xml:space="preserve">Une fois le système deploye, la qualité des sorties doit etre surveillee de manière continue:</w:t>
      </w:r>
    </w:p>
    <w:p>
      <w:pPr>
        <w:pStyle w:val="ListParagraph"/>
        <w:numPr>
          <w:ilvl w:val="0"/>
          <w:numId w:val="2"/>
        </w:numPr>
      </w:pPr>
      <w:r>
        <w:rPr>
          <w:rFonts w:ascii="Arial" w:cs="Arial" w:eastAsia="Arial" w:hAnsi="Arial"/>
          <w:color w:val="404040"/>
          <w:sz w:val="22"/>
          <w:szCs w:val="22"/>
        </w:rPr>
        <w:t xml:space="preserve">Collecte de métriques de performance en temps réel ou quasi-temps réel</w:t>
      </w:r>
    </w:p>
    <w:p>
      <w:pPr>
        <w:pStyle w:val="ListParagraph"/>
        <w:numPr>
          <w:ilvl w:val="0"/>
          <w:numId w:val="2"/>
        </w:numPr>
      </w:pPr>
      <w:r>
        <w:rPr>
          <w:rFonts w:ascii="Arial" w:cs="Arial" w:eastAsia="Arial" w:hAnsi="Arial"/>
          <w:color w:val="404040"/>
          <w:sz w:val="22"/>
          <w:szCs w:val="22"/>
        </w:rPr>
        <w:t xml:space="preserve">Comparaison périodique avec des données de référence ou de vérité établies</w:t>
      </w:r>
    </w:p>
    <w:p>
      <w:pPr>
        <w:pStyle w:val="ListParagraph"/>
        <w:numPr>
          <w:ilvl w:val="0"/>
          <w:numId w:val="2"/>
        </w:numPr>
      </w:pPr>
      <w:r>
        <w:rPr>
          <w:rFonts w:ascii="Arial" w:cs="Arial" w:eastAsia="Arial" w:hAnsi="Arial"/>
          <w:color w:val="404040"/>
          <w:sz w:val="22"/>
          <w:szCs w:val="22"/>
        </w:rPr>
        <w:t xml:space="preserve">Alertes automatiques si les métriques franchissent les seuils d'alerte définis</w:t>
      </w:r>
    </w:p>
    <w:p>
      <w:pPr>
        <w:pStyle w:val="ListParagraph"/>
        <w:numPr>
          <w:ilvl w:val="0"/>
          <w:numId w:val="2"/>
        </w:numPr>
      </w:pPr>
      <w:r>
        <w:rPr>
          <w:rFonts w:ascii="Arial" w:cs="Arial" w:eastAsia="Arial" w:hAnsi="Arial"/>
          <w:color w:val="404040"/>
          <w:sz w:val="22"/>
          <w:szCs w:val="22"/>
        </w:rPr>
        <w:t xml:space="preserve">Rapports mensuels ou trimestriels sur la qualité des sorties</w:t>
      </w:r>
    </w:p>
    <w:p>
      <w:pPr>
        <w:pStyle w:val="ListParagraph"/>
        <w:numPr>
          <w:ilvl w:val="0"/>
          <w:numId w:val="2"/>
        </w:numPr>
      </w:pPr>
      <w:r>
        <w:rPr>
          <w:rFonts w:ascii="Arial" w:cs="Arial" w:eastAsia="Arial" w:hAnsi="Arial"/>
          <w:color w:val="404040"/>
          <w:sz w:val="22"/>
          <w:szCs w:val="22"/>
        </w:rPr>
        <w:t xml:space="preserve">Revue semestrielle approfondie de la qualité par le comité de gouvernance IA</w:t>
      </w:r>
    </w:p>
    <w:p>
      <w:pPr>
        <w:pStyle w:val="Heading2"/>
      </w:pPr>
      <w:r>
        <w:t xml:space="preserve">Tests de biais et d'équité</w:t>
      </w:r>
    </w:p>
    <w:p>
      <w:r>
        <w:rPr>
          <w:rFonts w:ascii="Arial" w:cs="Arial" w:eastAsia="Arial" w:hAnsi="Arial"/>
          <w:color w:val="404040"/>
          <w:sz w:val="22"/>
          <w:szCs w:val="22"/>
        </w:rPr>
        <w:t xml:space="preserve">Conformement aux exigences de la Loi 25 et de la Charte des droits du Québec, les systèmes IA doivent etre testes pour identifier et atténuer les biais:</w:t>
      </w:r>
    </w:p>
    <w:p>
      <w:pPr>
        <w:pStyle w:val="ListParagraph"/>
        <w:numPr>
          <w:ilvl w:val="0"/>
          <w:numId w:val="3"/>
        </w:numPr>
      </w:pPr>
      <w:r>
        <w:rPr>
          <w:rFonts w:ascii="Arial" w:cs="Arial" w:eastAsia="Arial" w:hAnsi="Arial"/>
          <w:color w:val="404040"/>
          <w:sz w:val="22"/>
          <w:szCs w:val="22"/>
        </w:rPr>
        <w:t xml:space="preserve">Identification des groupes protege par la loi (genre, âge, origine, situation de handicap, etc.)</w:t>
      </w:r>
    </w:p>
    <w:p>
      <w:pPr>
        <w:pStyle w:val="ListParagraph"/>
        <w:numPr>
          <w:ilvl w:val="0"/>
          <w:numId w:val="3"/>
        </w:numPr>
      </w:pPr>
      <w:r>
        <w:rPr>
          <w:rFonts w:ascii="Arial" w:cs="Arial" w:eastAsia="Arial" w:hAnsi="Arial"/>
          <w:color w:val="404040"/>
          <w:sz w:val="22"/>
          <w:szCs w:val="22"/>
        </w:rPr>
        <w:t xml:space="preserve">Évaluation comparée des métriques de précision et de performance pour chaque groupe</w:t>
      </w:r>
    </w:p>
    <w:p>
      <w:pPr>
        <w:pStyle w:val="ListParagraph"/>
        <w:numPr>
          <w:ilvl w:val="0"/>
          <w:numId w:val="3"/>
        </w:numPr>
      </w:pPr>
      <w:r>
        <w:rPr>
          <w:rFonts w:ascii="Arial" w:cs="Arial" w:eastAsia="Arial" w:hAnsi="Arial"/>
          <w:color w:val="404040"/>
          <w:sz w:val="22"/>
          <w:szCs w:val="22"/>
        </w:rPr>
        <w:t xml:space="preserve">Analyse qualitative des sorties pour identifier des biais non quantifiables</w:t>
      </w:r>
    </w:p>
    <w:p>
      <w:pPr>
        <w:pStyle w:val="ListParagraph"/>
        <w:numPr>
          <w:ilvl w:val="0"/>
          <w:numId w:val="3"/>
        </w:numPr>
      </w:pPr>
      <w:r>
        <w:rPr>
          <w:rFonts w:ascii="Arial" w:cs="Arial" w:eastAsia="Arial" w:hAnsi="Arial"/>
          <w:color w:val="404040"/>
          <w:sz w:val="22"/>
          <w:szCs w:val="22"/>
        </w:rPr>
        <w:t xml:space="preserve">Documentation détaillée des risques de biais identifiés</w:t>
      </w:r>
    </w:p>
    <w:p>
      <w:pPr>
        <w:pStyle w:val="ListParagraph"/>
        <w:numPr>
          <w:ilvl w:val="0"/>
          <w:numId w:val="3"/>
        </w:numPr>
      </w:pPr>
      <w:r>
        <w:rPr>
          <w:rFonts w:ascii="Arial" w:cs="Arial" w:eastAsia="Arial" w:hAnsi="Arial"/>
          <w:color w:val="404040"/>
          <w:sz w:val="22"/>
          <w:szCs w:val="22"/>
        </w:rPr>
        <w:t xml:space="preserve">Mise en œuvre de mesures d'attenuation (ajustement des seuils, augmentation des données d'entrainement, retraining)</w:t>
      </w:r>
    </w:p>
    <w:p>
      <w:pPr>
        <w:pStyle w:val="ListParagraph"/>
        <w:numPr>
          <w:ilvl w:val="0"/>
          <w:numId w:val="3"/>
        </w:numPr>
      </w:pPr>
      <w:r>
        <w:rPr>
          <w:rFonts w:ascii="Arial" w:cs="Arial" w:eastAsia="Arial" w:hAnsi="Arial"/>
          <w:color w:val="404040"/>
          <w:sz w:val="22"/>
          <w:szCs w:val="22"/>
        </w:rPr>
        <w:t xml:space="preserve">Re-évaluation périodique (au minimum annuellement) de l'absence de biais</w:t>
      </w:r>
    </w:p>
    <w:p>
      <w:pPr>
        <w:pStyle w:val="Heading2"/>
      </w:pPr>
      <w:r>
        <w:t xml:space="preserve">Audits de qualité externes</w:t>
      </w:r>
    </w:p>
    <w:p>
      <w:r>
        <w:rPr>
          <w:rFonts w:ascii="Arial" w:cs="Arial" w:eastAsia="Arial" w:hAnsi="Arial"/>
          <w:color w:val="404040"/>
          <w:sz w:val="22"/>
          <w:szCs w:val="22"/>
        </w:rPr>
        <w:t xml:space="preserve">Au moins annuellement, [NOM_ORGANISATION] fait réaliser un audit indépendant de la qualité de ses principaux systèmes IA par un tiers externe qualifié.</w:t>
      </w:r>
    </w:p>
    <w:p>
      <w:r>
        <w:rPr>
          <w:rFonts w:ascii="Arial" w:cs="Arial" w:eastAsia="Arial" w:hAnsi="Arial"/>
          <w:color w:val="404040"/>
          <w:sz w:val="22"/>
          <w:szCs w:val="22"/>
        </w:rPr>
        <w:t xml:space="preserve">Cet audit vérifie:</w:t>
      </w:r>
    </w:p>
    <w:p>
      <w:pPr>
        <w:pStyle w:val="ListParagraph"/>
        <w:numPr>
          <w:ilvl w:val="0"/>
          <w:numId w:val="2"/>
        </w:numPr>
      </w:pPr>
      <w:r>
        <w:rPr>
          <w:rFonts w:ascii="Arial" w:cs="Arial" w:eastAsia="Arial" w:hAnsi="Arial"/>
          <w:color w:val="404040"/>
          <w:sz w:val="22"/>
          <w:szCs w:val="22"/>
        </w:rPr>
        <w:t xml:space="preserve">La conformité avec les critères de qualité du présent document</w:t>
      </w:r>
    </w:p>
    <w:p>
      <w:pPr>
        <w:pStyle w:val="ListParagraph"/>
        <w:numPr>
          <w:ilvl w:val="0"/>
          <w:numId w:val="2"/>
        </w:numPr>
      </w:pPr>
      <w:r>
        <w:rPr>
          <w:rFonts w:ascii="Arial" w:cs="Arial" w:eastAsia="Arial" w:hAnsi="Arial"/>
          <w:color w:val="404040"/>
          <w:sz w:val="22"/>
          <w:szCs w:val="22"/>
        </w:rPr>
        <w:t xml:space="preserve">L'adéquation des méthodes de test et de validation</w:t>
      </w:r>
    </w:p>
    <w:p>
      <w:pPr>
        <w:pStyle w:val="ListParagraph"/>
        <w:numPr>
          <w:ilvl w:val="0"/>
          <w:numId w:val="2"/>
        </w:numPr>
      </w:pPr>
      <w:r>
        <w:rPr>
          <w:rFonts w:ascii="Arial" w:cs="Arial" w:eastAsia="Arial" w:hAnsi="Arial"/>
          <w:color w:val="404040"/>
          <w:sz w:val="22"/>
          <w:szCs w:val="22"/>
        </w:rPr>
        <w:t xml:space="preserve">L'exactitude des rapports de performance</w:t>
      </w:r>
    </w:p>
    <w:p>
      <w:pPr>
        <w:pStyle w:val="ListParagraph"/>
        <w:numPr>
          <w:ilvl w:val="0"/>
          <w:numId w:val="2"/>
        </w:numPr>
      </w:pPr>
      <w:r>
        <w:rPr>
          <w:rFonts w:ascii="Arial" w:cs="Arial" w:eastAsia="Arial" w:hAnsi="Arial"/>
          <w:color w:val="404040"/>
          <w:sz w:val="22"/>
          <w:szCs w:val="22"/>
        </w:rPr>
        <w:t xml:space="preserve">L'efficacite des mesures de mitigation des risques de biais</w:t>
      </w:r>
    </w:p>
    <w:p>
      <w:pPr>
        <w:pStyle w:val="ListParagraph"/>
        <w:numPr>
          <w:ilvl w:val="0"/>
          <w:numId w:val="2"/>
        </w:numPr>
      </w:pPr>
      <w:r>
        <w:rPr>
          <w:rFonts w:ascii="Arial" w:cs="Arial" w:eastAsia="Arial" w:hAnsi="Arial"/>
          <w:color w:val="404040"/>
          <w:sz w:val="22"/>
          <w:szCs w:val="22"/>
        </w:rPr>
        <w:t xml:space="preserve">La conformité avec les exigences réglementaires applicables</w:t>
      </w:r>
    </w:p>
    <w:p>
      <w:pPr>
        <w:pStyle w:val="Heading1"/>
      </w:pPr>
      <w:r>
        <w:t xml:space="preserve">Workflows de contrôle de qualité</w:t>
      </w:r>
    </w:p>
    <w:p>
      <w:r>
        <w:rPr>
          <w:rFonts w:ascii="Arial" w:cs="Arial" w:eastAsia="Arial" w:hAnsi="Arial"/>
          <w:color w:val="404040"/>
          <w:sz w:val="22"/>
          <w:szCs w:val="22"/>
        </w:rPr>
        <w:t xml:space="preserve">Le workflow suivant s'applique pour assurer la qualité des sorties 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3000"/>
        <w:gridCol w:w="2360"/>
      </w:tblGrid>
      <w:tr>
        <w:tc>
          <w:tcPr>
            <w:tcW w:type="dxa" w:w="1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Étape</w:t>
            </w:r>
          </w:p>
        </w:tc>
        <w:tc>
          <w:tcPr>
            <w:tcW w:type="dxa" w:w="1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Responsable</w:t>
            </w:r>
          </w:p>
        </w:tc>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Description</w:t>
            </w:r>
          </w:p>
        </w:tc>
        <w:tc>
          <w:tcPr>
            <w:tcW w:type="dxa" w:w="2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Critères d'acceptation</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1. Définition des critères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[RESPONSABLE_IA]</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Définir les métriques spécifiques au système et les seuils d'acceptabilité</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Critères documentés et approuvés</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2. Test pre-deploiement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[RESPONSABLE_IA], Expert IA</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Évaluer la qualité sur un ensemble de test représentatif</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Seuils d'acceptabilité atteints</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3. Test de biais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Expert en équité IA, [DPO]</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Analyser les biais potentiels et leur atténuation</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Absence de biais significatifs</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4. Approbation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[RESPONSABLE_IA], Direction métier</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Approuver le déploiement basee sur les tests</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Autorisation documentee</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5. Mise en production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Equipe IT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Déployer le système avec les outils de surveillance</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Système opérationnel et monitoré</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6. Surveillance continue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Equipe IA, Data analysts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Collecter et analyser les métriques de performance</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Rapports mensuels</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7. Escalade en cas d'alerte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[RESPONSABLE_IA]</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Investiguer et remédier en cas de dégradation de qualité</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Résolution documentee</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8. Revue périodique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Comite de gouvernance IA</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Revue globale de la qualité et décisions de retraining/retrait</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Procès-verbal de réunion</w:t>
            </w:r>
          </w:p>
        </w:tc>
      </w:tr>
    </w:tbl>
    <w:p>
      <w:pPr>
        <w:pStyle w:val="Heading1"/>
      </w:pPr>
      <w:r>
        <w:t xml:space="preserve">Outils et plateformes</w:t>
      </w:r>
    </w:p>
    <w:p>
      <w:r>
        <w:rPr>
          <w:rFonts w:ascii="Arial" w:cs="Arial" w:eastAsia="Arial" w:hAnsi="Arial"/>
          <w:color w:val="404040"/>
          <w:sz w:val="22"/>
          <w:szCs w:val="22"/>
        </w:rPr>
        <w:t xml:space="preserve">[NOM_ORGANISATION] utilisé les outils suivants pour évaluer et surveiller la qualité des sorties IA:</w:t>
      </w:r>
    </w:p>
    <w:p>
      <w:pPr>
        <w:pStyle w:val="ListParagraph"/>
        <w:numPr>
          <w:ilvl w:val="0"/>
          <w:numId w:val="2"/>
        </w:numPr>
      </w:pPr>
      <w:r>
        <w:rPr>
          <w:rFonts w:ascii="Arial" w:cs="Arial" w:eastAsia="Arial" w:hAnsi="Arial"/>
          <w:color w:val="404040"/>
          <w:sz w:val="22"/>
          <w:szCs w:val="22"/>
        </w:rPr>
        <w:t xml:space="preserve">Scikit-learn / TensorFlow: Calcul des métriques de précision et de performance</w:t>
      </w:r>
    </w:p>
    <w:p>
      <w:pPr>
        <w:pStyle w:val="ListParagraph"/>
        <w:numPr>
          <w:ilvl w:val="0"/>
          <w:numId w:val="2"/>
        </w:numPr>
      </w:pPr>
      <w:r>
        <w:rPr>
          <w:rFonts w:ascii="Arial" w:cs="Arial" w:eastAsia="Arial" w:hAnsi="Arial"/>
          <w:color w:val="404040"/>
          <w:sz w:val="22"/>
          <w:szCs w:val="22"/>
        </w:rPr>
        <w:t xml:space="preserve">Fairlearn: Analyse et atténuation des biais (équité IA)</w:t>
      </w:r>
    </w:p>
    <w:p>
      <w:pPr>
        <w:pStyle w:val="ListParagraph"/>
        <w:numPr>
          <w:ilvl w:val="0"/>
          <w:numId w:val="2"/>
        </w:numPr>
      </w:pPr>
      <w:r>
        <w:rPr>
          <w:rFonts w:ascii="Arial" w:cs="Arial" w:eastAsia="Arial" w:hAnsi="Arial"/>
          <w:color w:val="404040"/>
          <w:sz w:val="22"/>
          <w:szCs w:val="22"/>
        </w:rPr>
        <w:t xml:space="preserve">SHAP / LIME: Explicabilité et interprétabilité des décisions</w:t>
      </w:r>
    </w:p>
    <w:p>
      <w:pPr>
        <w:pStyle w:val="ListParagraph"/>
        <w:numPr>
          <w:ilvl w:val="0"/>
          <w:numId w:val="2"/>
        </w:numPr>
      </w:pPr>
      <w:r>
        <w:rPr>
          <w:rFonts w:ascii="Arial" w:cs="Arial" w:eastAsia="Arial" w:hAnsi="Arial"/>
          <w:color w:val="404040"/>
          <w:sz w:val="22"/>
          <w:szCs w:val="22"/>
        </w:rPr>
        <w:t xml:space="preserve">Tableau / Power BI: Dashboards de surveillance de la qualité</w:t>
      </w:r>
    </w:p>
    <w:p>
      <w:pPr>
        <w:pStyle w:val="ListParagraph"/>
        <w:numPr>
          <w:ilvl w:val="0"/>
          <w:numId w:val="2"/>
        </w:numPr>
      </w:pPr>
      <w:r>
        <w:rPr>
          <w:rFonts w:ascii="Arial" w:cs="Arial" w:eastAsia="Arial" w:hAnsi="Arial"/>
          <w:color w:val="404040"/>
          <w:sz w:val="22"/>
          <w:szCs w:val="22"/>
        </w:rPr>
        <w:t xml:space="preserve">Custom ML monitoring solutions: Alertes et rapports automatises</w:t>
      </w:r>
    </w:p>
    <w:p>
      <w:pPr>
        <w:pStyle w:val="ListParagraph"/>
        <w:numPr>
          <w:ilvl w:val="0"/>
          <w:numId w:val="2"/>
        </w:numPr>
      </w:pPr>
      <w:r>
        <w:rPr>
          <w:rFonts w:ascii="Arial" w:cs="Arial" w:eastAsia="Arial" w:hAnsi="Arial"/>
          <w:color w:val="404040"/>
          <w:sz w:val="22"/>
          <w:szCs w:val="22"/>
        </w:rPr>
        <w:t xml:space="preserve">Audit trails: Traçabilite des prédictions et de leurs facteurs</w:t>
      </w:r>
    </w:p>
    <w:p>
      <w:pPr>
        <w:pStyle w:val="Heading1"/>
      </w:pPr>
      <w:r>
        <w:t xml:space="preserve">Rôles et responsabilités</w:t>
      </w:r>
    </w:p>
    <w:p>
      <w:r>
        <w:rPr>
          <w:rFonts w:ascii="Arial" w:cs="Arial" w:eastAsia="Arial" w:hAnsi="Arial"/>
          <w:color w:val="404040"/>
          <w:sz w:val="22"/>
          <w:szCs w:val="22"/>
        </w:rPr>
        <w:t xml:space="preserve">Les rôles et responsabilités suivants sont définis dans le cadre du présent document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Rôle</w:t>
            </w:r>
          </w:p>
        </w:tc>
        <w:tc>
          <w:tcPr>
            <w:tcW w:type="dxa" w:w="6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Responsabilités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Direction générale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Approuve la stratégie IA et alloue les ressources nécessaires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Comité de gouvernance IA</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Supervise la mise en œuvre des politiques et prend les décisions stratégiques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Responsable IA / Chief AI Officer</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Coordonne les initiatives IA et assure la conformité opérationnelle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Responsable de la protection des renseignements personnels (DPO)</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Veille au respect de la Loi 25 et des obligations de confidentialité</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Direction des technologies de l'information</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Assure la sécurité, l'infrastructure et le support technique des systèmes IA</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Gestionnaires de département</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Encadrent l'utilisation de l'IA dans leurs équipes respectives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Ensemble des employés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Respectent les politiques et signalent les incidents ou préoccupations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Expert en qualité IA</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Definit les métriques et les seuils; supervise les tests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Data scientist</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Réalise les évaluations de précision et de biais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Spécialiste en éthique IA</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Analyse les impacts équité et les biais potentiels</w:t>
            </w:r>
          </w:p>
        </w:tc>
      </w:tr>
    </w:tbl>
    <w:p>
      <w:pPr>
        <w:spacing w:before="200"/>
      </w:pPr>
    </w:p>
    <w:p>
      <w:pPr>
        <w:pStyle w:val="Heading1"/>
      </w:pPr>
      <w:r>
        <w:t xml:space="preserve">Mise en œuvre</w:t>
      </w:r>
    </w:p>
    <w:p>
      <w:r>
        <w:rPr>
          <w:rFonts w:ascii="Arial" w:cs="Arial" w:eastAsia="Arial" w:hAnsi="Arial"/>
          <w:color w:val="404040"/>
          <w:sz w:val="22"/>
          <w:szCs w:val="22"/>
        </w:rPr>
        <w:t xml:space="preserve">La mise en œuvre du présent document suit les étapes suivantes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5200"/>
        <w:gridCol w:w="1660"/>
      </w:tblGrid>
      <w:tr>
        <w:tc>
          <w:tcPr>
            <w:tcW w:type="dxa" w:w="2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Phase</w:t>
            </w:r>
          </w:p>
        </w:tc>
        <w:tc>
          <w:tcPr>
            <w:tcW w:type="dxa" w:w="5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Description</w:t>
            </w:r>
          </w:p>
        </w:tc>
        <w:tc>
          <w:tcPr>
            <w:tcW w:type="dxa" w:w="16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Échéance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Phase 1 - Définition des critères</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Atelier avec parties prenantes pour definir les métriques de qualité par système IA</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[DATE_DEBUT_PHASE1]</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Phase 2 - Mise en place des outils de test</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Installation et configuration des outils d'évaluation et de surveillance</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[DATE_DEBUT_PHASE2]</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Phase 3 - Test des systèmes existants</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Évaluation de tous les systèmes IA actuels selon les critères</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[DATE_DEBUT_PHASE3]</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Phase 4 - Integration dans les workflows</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Incorporation de la validation de qualité dans les processus de déploiement</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[DATE_DEBUT_PHASE4]</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Phase 5 - Surveillance continue</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Mise en service des dashboards et alertes de surveillance</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[DATE_DEBUT_PHASE5]</w:t>
            </w:r>
          </w:p>
        </w:tc>
      </w:tr>
    </w:tbl>
    <w:p>
      <w:pPr>
        <w:spacing w:before="200"/>
      </w:pPr>
    </w:p>
    <w:p>
      <w:pPr>
        <w:pStyle w:val="Heading1"/>
      </w:pPr>
      <w:r>
        <w:t xml:space="preserve">Révision et gouvernance</w:t>
      </w:r>
    </w:p>
    <w:p>
      <w:r>
        <w:rPr>
          <w:rFonts w:ascii="Arial" w:cs="Arial" w:eastAsia="Arial" w:hAnsi="Arial"/>
          <w:color w:val="404040"/>
          <w:sz w:val="22"/>
          <w:szCs w:val="22"/>
        </w:rPr>
        <w:t xml:space="preserve">Le présent document fait l'objet d'une révision semestrielle ou lors de tout changement significatif dans l'environnement réglementaire, technologique ou organisationnel.</w:t>
      </w:r>
    </w:p>
    <w:p>
      <w:pPr>
        <w:pStyle w:val="Heading2"/>
      </w:pPr>
      <w:r>
        <w:t xml:space="preserve">Critères déclenchant une révision anticipée</w:t>
      </w:r>
    </w:p>
    <w:p>
      <w:pPr>
        <w:pStyle w:val="ListParagraph"/>
        <w:numPr>
          <w:ilvl w:val="0"/>
          <w:numId w:val="2"/>
        </w:numPr>
      </w:pPr>
      <w:r>
        <w:rPr>
          <w:rFonts w:ascii="Arial" w:cs="Arial" w:eastAsia="Arial" w:hAnsi="Arial"/>
          <w:color w:val="404040"/>
          <w:sz w:val="22"/>
          <w:szCs w:val="22"/>
        </w:rPr>
        <w:t xml:space="preserve">Modification substantielle de la législation applicable (Loi 25, C-27/LIAD, EU AI Act)</w:t>
      </w:r>
    </w:p>
    <w:p>
      <w:pPr>
        <w:pStyle w:val="ListParagraph"/>
        <w:numPr>
          <w:ilvl w:val="0"/>
          <w:numId w:val="2"/>
        </w:numPr>
      </w:pPr>
      <w:r>
        <w:rPr>
          <w:rFonts w:ascii="Arial" w:cs="Arial" w:eastAsia="Arial" w:hAnsi="Arial"/>
          <w:color w:val="404040"/>
          <w:sz w:val="22"/>
          <w:szCs w:val="22"/>
        </w:rPr>
        <w:t xml:space="preserve">Incident majeur lié à l'IA au sein de l'organisation</w:t>
      </w:r>
    </w:p>
    <w:p>
      <w:pPr>
        <w:pStyle w:val="ListParagraph"/>
        <w:numPr>
          <w:ilvl w:val="0"/>
          <w:numId w:val="2"/>
        </w:numPr>
      </w:pPr>
      <w:r>
        <w:rPr>
          <w:rFonts w:ascii="Arial" w:cs="Arial" w:eastAsia="Arial" w:hAnsi="Arial"/>
          <w:color w:val="404040"/>
          <w:sz w:val="22"/>
          <w:szCs w:val="22"/>
        </w:rPr>
        <w:t xml:space="preserve">Changement organisationnel significatif (fusion, acquisition, restructuration)</w:t>
      </w:r>
    </w:p>
    <w:p>
      <w:pPr>
        <w:pStyle w:val="ListParagraph"/>
        <w:numPr>
          <w:ilvl w:val="0"/>
          <w:numId w:val="2"/>
        </w:numPr>
      </w:pPr>
      <w:r>
        <w:rPr>
          <w:rFonts w:ascii="Arial" w:cs="Arial" w:eastAsia="Arial" w:hAnsi="Arial"/>
          <w:color w:val="404040"/>
          <w:sz w:val="22"/>
          <w:szCs w:val="22"/>
        </w:rPr>
        <w:t xml:space="preserve">Évolution technologique majeure impactant les systèmes IA en place</w:t>
      </w:r>
    </w:p>
    <w:p>
      <w:pPr>
        <w:pStyle w:val="ListParagraph"/>
        <w:numPr>
          <w:ilvl w:val="0"/>
          <w:numId w:val="2"/>
        </w:numPr>
      </w:pPr>
      <w:r>
        <w:rPr>
          <w:rFonts w:ascii="Arial" w:cs="Arial" w:eastAsia="Arial" w:hAnsi="Arial"/>
          <w:color w:val="404040"/>
          <w:sz w:val="22"/>
          <w:szCs w:val="22"/>
        </w:rPr>
        <w:t xml:space="preserve">Recommandation issue d'un audit interne ou externe</w:t>
      </w:r>
    </w:p>
    <w:p>
      <w:pPr>
        <w:pStyle w:val="Heading2"/>
      </w:pPr>
      <w:r>
        <w:t xml:space="preserve">Processus de révision</w:t>
      </w:r>
    </w:p>
    <w:p>
      <w:pPr>
        <w:pStyle w:val="ListParagraph"/>
        <w:numPr>
          <w:ilvl w:val="0"/>
          <w:numId w:val="3"/>
        </w:numPr>
      </w:pPr>
      <w:r>
        <w:rPr>
          <w:rFonts w:ascii="Arial" w:cs="Arial" w:eastAsia="Arial" w:hAnsi="Arial"/>
          <w:color w:val="404040"/>
          <w:sz w:val="22"/>
          <w:szCs w:val="22"/>
        </w:rPr>
        <w:t xml:space="preserve">Le responsable du document initie la révision selon le calendrier établi</w:t>
      </w:r>
    </w:p>
    <w:p>
      <w:pPr>
        <w:pStyle w:val="ListParagraph"/>
        <w:numPr>
          <w:ilvl w:val="0"/>
          <w:numId w:val="3"/>
        </w:numPr>
      </w:pPr>
      <w:r>
        <w:rPr>
          <w:rFonts w:ascii="Arial" w:cs="Arial" w:eastAsia="Arial" w:hAnsi="Arial"/>
          <w:color w:val="404040"/>
          <w:sz w:val="22"/>
          <w:szCs w:val="22"/>
        </w:rPr>
        <w:t xml:space="preserve">Les parties prenantes sont consultées et fournissent leurs commentaires</w:t>
      </w:r>
    </w:p>
    <w:p>
      <w:pPr>
        <w:pStyle w:val="ListParagraph"/>
        <w:numPr>
          <w:ilvl w:val="0"/>
          <w:numId w:val="3"/>
        </w:numPr>
      </w:pPr>
      <w:r>
        <w:rPr>
          <w:rFonts w:ascii="Arial" w:cs="Arial" w:eastAsia="Arial" w:hAnsi="Arial"/>
          <w:color w:val="404040"/>
          <w:sz w:val="22"/>
          <w:szCs w:val="22"/>
        </w:rPr>
        <w:t xml:space="preserve">Les modifications sont documentées dans l'historique des versions</w:t>
      </w:r>
    </w:p>
    <w:p>
      <w:pPr>
        <w:pStyle w:val="ListParagraph"/>
        <w:numPr>
          <w:ilvl w:val="0"/>
          <w:numId w:val="3"/>
        </w:numPr>
      </w:pPr>
      <w:r>
        <w:rPr>
          <w:rFonts w:ascii="Arial" w:cs="Arial" w:eastAsia="Arial" w:hAnsi="Arial"/>
          <w:color w:val="404040"/>
          <w:sz w:val="22"/>
          <w:szCs w:val="22"/>
        </w:rPr>
        <w:t xml:space="preserve">Le document révisé est soumis à l'approbation de l'autorité compétente</w:t>
      </w:r>
    </w:p>
    <w:p>
      <w:pPr>
        <w:pStyle w:val="ListParagraph"/>
        <w:numPr>
          <w:ilvl w:val="0"/>
          <w:numId w:val="3"/>
        </w:numPr>
      </w:pPr>
      <w:r>
        <w:rPr>
          <w:rFonts w:ascii="Arial" w:cs="Arial" w:eastAsia="Arial" w:hAnsi="Arial"/>
          <w:color w:val="404040"/>
          <w:sz w:val="22"/>
          <w:szCs w:val="22"/>
        </w:rPr>
        <w:t xml:space="preserve">La version approuvée est diffusée et les parties prenantes sont informées</w:t>
      </w:r>
    </w:p>
    <w:p>
      <w:pPr>
        <w:spacing w:before="200"/>
      </w:pPr>
    </w:p>
    <w:p>
      <w:pPr>
        <w:pStyle w:val="Heading1"/>
      </w:pPr>
      <w:r>
        <w:t xml:space="preserve">Annexe A - Glossaire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Terme</w:t>
            </w:r>
          </w:p>
        </w:tc>
        <w:tc>
          <w:tcPr>
            <w:tcW w:type="dxa" w:w="6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Définition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Intelligence artificielle (IA)</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Ensemble de techniques permettant à des machines de simuler des capacités cognitives humaines telles que l'apprentissage, le raisonnement et la prise de décision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IA générative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Catégorie de systèmes d'IA capables de générer du contenu original (texte, images, code, audio) à partir de modèles entraînés sur de grands ensembles de données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Modèle de langage (LLM)</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Modèle d'IA entraîné sur de vastes corpus de texte, capable de comprendre et générer du langage naturel</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Biais algorithmique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Tendance systématique d'un système d'IA à produire des résultats inéquitables en raison de données d'entraînement ou de choix de conception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Renseignement personnel</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Selon la Loi 25, tout renseignement qui concerne une personne physique et permet directement ou indirectement de l'identifier</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Loi 25</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Loi modernisant des dispositions législatives en matière de protection des renseignements personnels (Québec, 2021-2024)</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LIAD (C-27)</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Loi sur l'intelligence artificielle et les données, partie du projet de loi fédéral C-27</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EU AI Act</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Règlement européen sur l'intelligence artificielle (Règlement (UE) 2024/1689)</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ÉIVP / PIA</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Évaluation des impacts sur la vie privée / Privacy Impact Assessment</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Explicabilité</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Capacité à expliquer de manière compréhensible le fonctionnement et les décisions d'un système d'IA</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Précision (métriques)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 de vrais résultats parmi les résultats prédits comme positifs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Rappel</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 de résultats positifs réels qui ont ete correctement identifiés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F1 Score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Moyenne harmonique entre précision et rappel</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Biais algorithmique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Tendance systématique d'un système a produire des résultats inéquitables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Équité algorithmique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Absence de discrimination systématique envers des groupes protégés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Test set</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Ensemble de données utilisé pour évaluer la performance d'un modele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SHAP/LIME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Techniques pour expliquer les décisions de modèles d'IA</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026"/>
      </w:tabs>
      <w:spacing w:before="0"/>
    </w:pPr>
    <w:r>
      <w:rPr>
        <w:rFonts w:ascii="Arial" w:cs="Arial" w:eastAsia="Arial" w:hAnsi="Arial"/>
        <w:color w:val="666666"/>
        <w:sz w:val="14"/>
        <w:szCs w:val="14"/>
      </w:rPr>
      <w:t xml:space="preserve">Document confidentiel - [NOM_ORGANISATION]</w:t>
    </w:r>
    <w:r>
      <w:rPr>
        <w:rFonts w:ascii="Arial" w:cs="Arial" w:eastAsia="Arial" w:hAnsi="Arial"/>
        <w:color w:val="666666"/>
        <w:sz w:val="14"/>
        <w:szCs w:val="14"/>
      </w:rPr>
      <w:t xml:space="preserve">	Page </w:t>
    </w:r>
    <w:r>
      <w:rPr>
        <w:rFonts w:ascii="Arial" w:cs="Arial" w:eastAsia="Arial" w:hAnsi="Arial"/>
        <w:color w:val="666666"/>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spacing w:after="0"/>
    </w:pPr>
    <w:r>
      <w:rPr>
        <w:rFonts w:ascii="Arial" w:cs="Arial" w:eastAsia="Arial" w:hAnsi="Arial"/>
        <w:color w:val="666666"/>
        <w:sz w:val="16"/>
        <w:szCs w:val="16"/>
      </w:rPr>
      <w:t xml:space="preserve">[NOM_ORGANISATION]</w:t>
    </w:r>
    <w:r>
      <w:rPr>
        <w:rFonts w:ascii="Arial" w:cs="Arial" w:eastAsia="Arial" w:hAnsi="Arial"/>
        <w:i/>
        <w:iCs/>
        <w:color w:val="2E75B6"/>
        <w:sz w:val="16"/>
        <w:szCs w:val="16"/>
      </w:rPr>
      <w:t xml:space="preserve">	Critères de qualité des sorties 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04040"/>
        <w:sz w:val="22"/>
        <w:szCs w:val="22"/>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2026-03-05T02:14:46.968Z</dcterms:created>
  <dcterms:modified xsi:type="dcterms:W3CDTF">2026-03-05T02:14:46.968Z</dcterms:modified>
</cp:coreProperties>
</file>

<file path=docProps/custom.xml><?xml version="1.0" encoding="utf-8"?>
<Properties xmlns="http://schemas.openxmlformats.org/officeDocument/2006/custom-properties" xmlns:vt="http://schemas.openxmlformats.org/officeDocument/2006/docPropsVTypes"/>
</file>