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Tableau de bord et indicateurs de performance IA</w:t>
      </w:r>
    </w:p>
    <w:p>
      <w:pPr>
        <w:spacing w:after="600"/>
        <w:jc w:val="center"/>
      </w:pPr>
      <w:r>
        <w:rPr>
          <w:rFonts w:ascii="Arial" w:cs="Arial" w:eastAsia="Arial" w:hAnsi="Arial"/>
          <w:color w:val="2E75B6"/>
          <w:sz w:val="24"/>
          <w:szCs w:val="24"/>
        </w:rPr>
        <w:t xml:space="preserve">Framework de mesure et de pilotage de la gouvernance 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Évaluation et surveillance de la performance</w:t>
      </w:r>
    </w:p>
    <w:p>
      <w:pPr>
        <w:pStyle w:val="ListParagraph"/>
        <w:numPr>
          <w:ilvl w:val="0"/>
          <w:numId w:val="2"/>
        </w:numPr>
      </w:pPr>
      <w:r>
        <w:rPr>
          <w:rFonts w:ascii="Arial" w:cs="Arial" w:eastAsia="Arial" w:hAnsi="Arial"/>
          <w:color w:val="404040"/>
          <w:sz w:val="22"/>
          <w:szCs w:val="22"/>
        </w:rPr>
        <w:t xml:space="preserve">NIST AI RMF 1.0 - Measurement metrics and KPIs</w:t>
      </w:r>
    </w:p>
    <w:p>
      <w:pPr>
        <w:pStyle w:val="ListParagraph"/>
        <w:numPr>
          <w:ilvl w:val="0"/>
          <w:numId w:val="2"/>
        </w:numPr>
      </w:pPr>
      <w:r>
        <w:rPr>
          <w:rFonts w:ascii="Arial" w:cs="Arial" w:eastAsia="Arial" w:hAnsi="Arial"/>
          <w:color w:val="404040"/>
          <w:sz w:val="22"/>
          <w:szCs w:val="22"/>
        </w:rPr>
        <w:t xml:space="preserve">Cadre de gestion des risques et indicateurs de performance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Le présent document établit le cadre et les indicateurs cles de performance (KPI) pour piloter la gouvernance de l'intelligence artificielle au sein de [NOM_ORGANISATION].</w:t>
      </w:r>
    </w:p>
    <w:p>
      <w:r>
        <w:rPr>
          <w:rFonts w:ascii="Arial" w:cs="Arial" w:eastAsia="Arial" w:hAnsi="Arial"/>
          <w:color w:val="404040"/>
          <w:sz w:val="22"/>
          <w:szCs w:val="22"/>
        </w:rPr>
        <w:t xml:space="preserve">Un tableau de bord integre permet de monitorér simultanément la performance opérationnelle, l'impact financier, le respect des obligations réglementaires et les risques éthiques des systèmes IA.</w:t>
      </w:r>
    </w:p>
    <w:p>
      <w:r>
        <w:rPr>
          <w:rFonts w:ascii="Arial" w:cs="Arial" w:eastAsia="Arial" w:hAnsi="Arial"/>
          <w:color w:val="404040"/>
          <w:sz w:val="22"/>
          <w:szCs w:val="22"/>
        </w:rPr>
        <w:t xml:space="preserve">Ce document définit les catégories d'indicateurs, les méthodes de mesure, les fréquences de reporting et les responsabilités de collecte et d'analyse.</w:t>
      </w:r>
    </w:p>
    <w:p>
      <w:pPr>
        <w:pStyle w:val="Heading2"/>
      </w:pPr>
      <w:r>
        <w:t xml:space="preserve">Objectifs du tableau de bord IA</w:t>
      </w:r>
    </w:p>
    <w:p>
      <w:r>
        <w:rPr>
          <w:rFonts w:ascii="Arial" w:cs="Arial" w:eastAsia="Arial" w:hAnsi="Arial"/>
          <w:color w:val="404040"/>
          <w:sz w:val="22"/>
          <w:szCs w:val="22"/>
        </w:rPr>
        <w:t xml:space="preserve">Le tableau de bord de gouvernance IA poursuit trois objectifs strategiques:</w:t>
      </w:r>
    </w:p>
    <w:p>
      <w:pPr>
        <w:pStyle w:val="ListParagraph"/>
        <w:numPr>
          <w:ilvl w:val="0"/>
          <w:numId w:val="3"/>
        </w:numPr>
      </w:pPr>
      <w:r>
        <w:rPr>
          <w:rFonts w:ascii="Arial" w:cs="Arial" w:eastAsia="Arial" w:hAnsi="Arial"/>
          <w:color w:val="404040"/>
          <w:sz w:val="22"/>
          <w:szCs w:val="22"/>
        </w:rPr>
        <w:t xml:space="preserve">Pilotage opérationnel: Assurer que les systèmes IA operent avec la performance promise et detecter rapidement les dégradations</w:t>
      </w:r>
    </w:p>
    <w:p>
      <w:pPr>
        <w:pStyle w:val="ListParagraph"/>
        <w:numPr>
          <w:ilvl w:val="0"/>
          <w:numId w:val="3"/>
        </w:numPr>
      </w:pPr>
      <w:r>
        <w:rPr>
          <w:rFonts w:ascii="Arial" w:cs="Arial" w:eastAsia="Arial" w:hAnsi="Arial"/>
          <w:color w:val="404040"/>
          <w:sz w:val="22"/>
          <w:szCs w:val="22"/>
        </w:rPr>
        <w:t xml:space="preserve">Conformite reglementaire: Documenter le respect des exigences de la Loi 25, de la LIAD et des autres cadres applicables</w:t>
      </w:r>
    </w:p>
    <w:p>
      <w:pPr>
        <w:pStyle w:val="ListParagraph"/>
        <w:numPr>
          <w:ilvl w:val="0"/>
          <w:numId w:val="3"/>
        </w:numPr>
      </w:pPr>
      <w:r>
        <w:rPr>
          <w:rFonts w:ascii="Arial" w:cs="Arial" w:eastAsia="Arial" w:hAnsi="Arial"/>
          <w:color w:val="404040"/>
          <w:sz w:val="22"/>
          <w:szCs w:val="22"/>
        </w:rPr>
        <w:t xml:space="preserve">Impact strategique: Évaluer la contribution de l'IA aux objectifs métier et identifier les opportunites d'amelioration</w:t>
      </w:r>
    </w:p>
    <w:p>
      <w:pPr>
        <w:pStyle w:val="Heading1"/>
      </w:pPr>
      <w:r>
        <w:t xml:space="preserve">Catégories d'indicateurs</w:t>
      </w:r>
    </w:p>
    <w:p>
      <w:pPr>
        <w:pStyle w:val="Heading2"/>
      </w:pPr>
      <w:r>
        <w:t xml:space="preserve">1. Indicateurs de performance technique</w:t>
      </w:r>
    </w:p>
    <w:p>
      <w:r>
        <w:rPr>
          <w:rFonts w:ascii="Arial" w:cs="Arial" w:eastAsia="Arial" w:hAnsi="Arial"/>
          <w:color w:val="404040"/>
          <w:sz w:val="22"/>
          <w:szCs w:val="22"/>
        </w:rPr>
        <w:t xml:space="preserve">Ces indicateurs mesurent la performance opérationnelle des systèmes IA du point de vue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acceptable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Précision globale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 prédictions correctes en test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85% (contexte-dependant)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F1 Score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 harmonique précision/rappel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0.80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de réponse moyen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Latence moyenne de réponse du système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2 secondes (configurable)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Quotidienne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Disponibilite du système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du temps ou le système est accessible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99.5%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Quotidienne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d'erreur en production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 sorties erronees selon feedback utilisateur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Hebdomadaire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Drift du modele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Dégradation de performance vs. données de référence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2% par mois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Hebdomadaire</w:t>
            </w:r>
          </w:p>
        </w:tc>
      </w:tr>
    </w:tbl>
    <w:p>
      <w:pPr>
        <w:pStyle w:val="Heading2"/>
      </w:pPr>
      <w:r>
        <w:t xml:space="preserve">2. Indicateurs d'adoption et d'utilisation</w:t>
      </w:r>
    </w:p>
    <w:p>
      <w:r>
        <w:rPr>
          <w:rFonts w:ascii="Arial" w:cs="Arial" w:eastAsia="Arial" w:hAnsi="Arial"/>
          <w:color w:val="404040"/>
          <w:sz w:val="22"/>
          <w:szCs w:val="22"/>
        </w:rPr>
        <w:t xml:space="preserve">Ces KPIs mesurent le taux d'adoption des systèmes IA et leur utilisation effective par les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acceptable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d'utilisateurs actifs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d'utilisateurs uniques ayant utilisé le système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Croissance mensuelle &gt; 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Fréquence d'utilisation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moyen de requetes par utilisateur par mois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seuil defini par métier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d'acceptation des sorties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 sorties acceptees/mises en œuvre par utilisateurs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70%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de satisfaction utilisateur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de satisfaction (enquete 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3.5/5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de pénétration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des utilisateurs cibles utilisant le système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Croissance progressive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r>
    </w:tbl>
    <w:p>
      <w:pPr>
        <w:pStyle w:val="Heading2"/>
      </w:pPr>
      <w:r>
        <w:t xml:space="preserve">3. Indicateurs d'équité et d'ethique</w:t>
      </w:r>
    </w:p>
    <w:p>
      <w:r>
        <w:rPr>
          <w:rFonts w:ascii="Arial" w:cs="Arial" w:eastAsia="Arial" w:hAnsi="Arial"/>
          <w:color w:val="404040"/>
          <w:sz w:val="22"/>
          <w:szCs w:val="22"/>
        </w:rPr>
        <w:t xml:space="preserve">Conformement aux exigences de la Loi 25 et de la Charte des droits du Québec, ces indicateurs mesurent l'absence de biais et le respect des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acceptable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Disparite de précision par groupe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Difference de précision (%) entre groupes démographiques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5% d'ecart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Ratio de disparate impact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de probabilité résultat entre groupes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0.80 - 1.25 (rule of 80%)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Équité calibrée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de faux positifs equivalent entre groupes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2% de différence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Plaintes liees a la discrimination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plaintes recues concernant biais ou discrimination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0 tolere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d'explicabilité des décisions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 décisions accompagnées d'une explication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95%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Demandes de rectification (Loi 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demandes de correction de données personnelles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Suivi et resolution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bl>
    <w:p>
      <w:pPr>
        <w:pStyle w:val="Heading2"/>
      </w:pPr>
      <w:r>
        <w:t xml:space="preserve">4. Indicateurs financiers</w:t>
      </w:r>
    </w:p>
    <w:p>
      <w:r>
        <w:rPr>
          <w:rFonts w:ascii="Arial" w:cs="Arial" w:eastAsia="Arial" w:hAnsi="Arial"/>
          <w:color w:val="404040"/>
          <w:sz w:val="22"/>
          <w:szCs w:val="22"/>
        </w:rPr>
        <w:t xml:space="preserve">Ces KPIs mesurent la rentabilite economique et le retour sur investissement (ROI) des initiatives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acceptable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ROI des systèmes 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Ratio gains générées / coûts de développement et maintenance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1.5 x dans 18 mois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Gains d'efficacite opérationnelle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Reduction de temps/couts grace aux systèmes 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 variable par métier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Couts de maintenance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Couts totaux de maintenance et de support des systèmes 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 approuve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Couts de conformité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Couts des audits, tests, et conformité reglementaire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 approuve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r>
    </w:tbl>
    <w:p>
      <w:pPr>
        <w:pStyle w:val="Heading2"/>
      </w:pPr>
      <w:r>
        <w:t xml:space="preserve">5. Indicateurs de risque et de conformité</w:t>
      </w:r>
    </w:p>
    <w:p>
      <w:r>
        <w:rPr>
          <w:rFonts w:ascii="Arial" w:cs="Arial" w:eastAsia="Arial" w:hAnsi="Arial"/>
          <w:color w:val="404040"/>
          <w:sz w:val="22"/>
          <w:szCs w:val="22"/>
        </w:rPr>
        <w:t xml:space="preserve">Ces indicateurs suivent les risques associes a l'IA et la conformité avec les cadres réglementaires: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acceptable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d'incidents de sécurité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Incidents de sécurité (fuites de données, acces non autorises)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0 tolere; resolution &lt; 48h</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Quotidienne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d'incidents opérationnels majeurs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Incidents causant une dégradation importante du service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0; escalade immediate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Quotidienne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Couverture des EIVP (Évaluations d'impacts privee)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des systèmes IA ayant une EIVP documentee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avec Loi 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d'audit de conformité (0-100%)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95%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avec normes ISO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d'audit ISO 42001 / ISO 23894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90%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Systemes sans audit récent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 systèmes IA n'ayant pas ete audites dans les 12 mois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0% cible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bl>
    <w:p>
      <w:pPr>
        <w:pStyle w:val="Heading2"/>
      </w:pPr>
      <w:r>
        <w:t xml:space="preserve">6. Indicateurs de gouvernance et de maturité</w:t>
      </w:r>
    </w:p>
    <w:p>
      <w:r>
        <w:rPr>
          <w:rFonts w:ascii="Arial" w:cs="Arial" w:eastAsia="Arial" w:hAnsi="Arial"/>
          <w:color w:val="404040"/>
          <w:sz w:val="22"/>
          <w:szCs w:val="22"/>
        </w:rPr>
        <w:t xml:space="preserve">Ces KPIs mesurent la maturité de la fonction IA et la qualité de la gouvernance interne: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acceptable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Matrice de maturité IA (CMM)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Score de maturité (1-5) par domaine (gouvernance, éthique, conformité, sécurité)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Progression vers 4+</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Couverture de documentation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des systèmes avec documentation complete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95%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Semestrielle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Formations realisees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du personnel ayant suivi une formation 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Croissance vers 80%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Reunions du comité de gouvernance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réunions du comité de gouvernance 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Minimum mensuelle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Actions de remediation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d'actions de audit fermees dans les delais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90%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bl>
    <w:p>
      <w:pPr>
        <w:pStyle w:val="Heading1"/>
      </w:pPr>
      <w:r>
        <w:t xml:space="preserve">Architecture du tableau de bord</w:t>
      </w:r>
    </w:p>
    <w:p>
      <w:pPr>
        <w:pStyle w:val="Heading2"/>
      </w:pPr>
      <w:r>
        <w:t xml:space="preserve">Niveaux de dashboards</w:t>
      </w:r>
    </w:p>
    <w:p>
      <w:r>
        <w:rPr>
          <w:rFonts w:ascii="Arial" w:cs="Arial" w:eastAsia="Arial" w:hAnsi="Arial"/>
          <w:color w:val="404040"/>
          <w:sz w:val="22"/>
          <w:szCs w:val="22"/>
        </w:rPr>
        <w:t xml:space="preserve">[NOM_ORGANISATION] maintient plusieurs niveaux de dashboards adaptes a différentes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1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Audience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Métriques cles</w:t>
            </w:r>
          </w:p>
        </w:tc>
        <w:tc>
          <w:tcPr>
            <w:tcW w:type="dxa" w:w="1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 de mise a jour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Operational Dashboard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Equipes IA, responsables de systèmes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technique, alertes de drift, incidents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réel / quotidienne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Business Dashboard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responsables métier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Adoption, ROI, satisfaction utilisateurs, efficacité</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Hebdomadaire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Governance Dashboard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CIAO, comité de gouvernance, direction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risques, maturité, indicateurs strategiques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Executive Dashboard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C-suite, conseil d'administration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ROI global, conformité reglementaire, risques majeurs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r>
    </w:tbl>
    <w:p>
      <w:pPr>
        <w:pStyle w:val="Heading2"/>
      </w:pPr>
      <w:r>
        <w:t xml:space="preserve">Technologies et outils</w:t>
      </w:r>
    </w:p>
    <w:p>
      <w:r>
        <w:rPr>
          <w:rFonts w:ascii="Arial" w:cs="Arial" w:eastAsia="Arial" w:hAnsi="Arial"/>
          <w:color w:val="404040"/>
          <w:sz w:val="22"/>
          <w:szCs w:val="22"/>
        </w:rPr>
        <w:t xml:space="preserve">Les dashboards sont construits avec les outils suivants:</w:t>
      </w:r>
    </w:p>
    <w:p>
      <w:pPr>
        <w:pStyle w:val="ListParagraph"/>
        <w:numPr>
          <w:ilvl w:val="0"/>
          <w:numId w:val="2"/>
        </w:numPr>
      </w:pPr>
      <w:r>
        <w:rPr>
          <w:rFonts w:ascii="Arial" w:cs="Arial" w:eastAsia="Arial" w:hAnsi="Arial"/>
          <w:color w:val="404040"/>
          <w:sz w:val="22"/>
          <w:szCs w:val="22"/>
        </w:rPr>
        <w:t xml:space="preserve">Tableau / Power BI / Grafana: Visualisation et dashboards interactifs</w:t>
      </w:r>
    </w:p>
    <w:p>
      <w:pPr>
        <w:pStyle w:val="ListParagraph"/>
        <w:numPr>
          <w:ilvl w:val="0"/>
          <w:numId w:val="2"/>
        </w:numPr>
      </w:pPr>
      <w:r>
        <w:rPr>
          <w:rFonts w:ascii="Arial" w:cs="Arial" w:eastAsia="Arial" w:hAnsi="Arial"/>
          <w:color w:val="404040"/>
          <w:sz w:val="22"/>
          <w:szCs w:val="22"/>
        </w:rPr>
        <w:t xml:space="preserve">Prometheus / DataDog: Collecte de métriques techniques en temps réel</w:t>
      </w:r>
    </w:p>
    <w:p>
      <w:pPr>
        <w:pStyle w:val="ListParagraph"/>
        <w:numPr>
          <w:ilvl w:val="0"/>
          <w:numId w:val="2"/>
        </w:numPr>
      </w:pPr>
      <w:r>
        <w:rPr>
          <w:rFonts w:ascii="Arial" w:cs="Arial" w:eastAsia="Arial" w:hAnsi="Arial"/>
          <w:color w:val="404040"/>
          <w:sz w:val="22"/>
          <w:szCs w:val="22"/>
        </w:rPr>
        <w:t xml:space="preserve">Custom ML monitoring: Scripts Python/R pour métriques IA spécifiques</w:t>
      </w:r>
    </w:p>
    <w:p>
      <w:pPr>
        <w:pStyle w:val="ListParagraph"/>
        <w:numPr>
          <w:ilvl w:val="0"/>
          <w:numId w:val="2"/>
        </w:numPr>
      </w:pPr>
      <w:r>
        <w:rPr>
          <w:rFonts w:ascii="Arial" w:cs="Arial" w:eastAsia="Arial" w:hAnsi="Arial"/>
          <w:color w:val="404040"/>
          <w:sz w:val="22"/>
          <w:szCs w:val="22"/>
        </w:rPr>
        <w:t xml:space="preserve">Data warehouse: Stockage centralise des données de monitoring</w:t>
      </w:r>
    </w:p>
    <w:p>
      <w:pPr>
        <w:pStyle w:val="ListParagraph"/>
        <w:numPr>
          <w:ilvl w:val="0"/>
          <w:numId w:val="2"/>
        </w:numPr>
      </w:pPr>
      <w:r>
        <w:rPr>
          <w:rFonts w:ascii="Arial" w:cs="Arial" w:eastAsia="Arial" w:hAnsi="Arial"/>
          <w:color w:val="404040"/>
          <w:sz w:val="22"/>
          <w:szCs w:val="22"/>
        </w:rPr>
        <w:t xml:space="preserve">Alerting systems: PagerDuty / Slack pour escalade en cas d'alerte</w:t>
      </w:r>
    </w:p>
    <w:p>
      <w:pPr>
        <w:pStyle w:val="Heading1"/>
      </w:pPr>
      <w:r>
        <w:t xml:space="preserve">Procèsses de collecte et de reporting</w:t>
      </w:r>
    </w:p>
    <w:p>
      <w:pPr>
        <w:pStyle w:val="Heading2"/>
      </w:pPr>
      <w:r>
        <w:t xml:space="preserve">Collecte des données</w:t>
      </w:r>
    </w:p>
    <w:p>
      <w:r>
        <w:rPr>
          <w:rFonts w:ascii="Arial" w:cs="Arial" w:eastAsia="Arial" w:hAnsi="Arial"/>
          <w:color w:val="404040"/>
          <w:sz w:val="22"/>
          <w:szCs w:val="22"/>
        </w:rPr>
        <w:t xml:space="preserve">La collecte des données de KPI suit ce workflow:</w:t>
      </w:r>
    </w:p>
    <w:p>
      <w:pPr>
        <w:pStyle w:val="ListParagraph"/>
        <w:numPr>
          <w:ilvl w:val="0"/>
          <w:numId w:val="3"/>
        </w:numPr>
      </w:pPr>
      <w:r>
        <w:rPr>
          <w:rFonts w:ascii="Arial" w:cs="Arial" w:eastAsia="Arial" w:hAnsi="Arial"/>
          <w:color w:val="404040"/>
          <w:sz w:val="22"/>
          <w:szCs w:val="22"/>
        </w:rPr>
        <w:t xml:space="preserve">Instrumentation: Les systèmes IA sont instrumentes pour collecter les métriques nécessaires (logs, APIs d'évaluation, feedback utilisateur)</w:t>
      </w:r>
    </w:p>
    <w:p>
      <w:pPr>
        <w:pStyle w:val="ListParagraph"/>
        <w:numPr>
          <w:ilvl w:val="0"/>
          <w:numId w:val="3"/>
        </w:numPr>
      </w:pPr>
      <w:r>
        <w:rPr>
          <w:rFonts w:ascii="Arial" w:cs="Arial" w:eastAsia="Arial" w:hAnsi="Arial"/>
          <w:color w:val="404040"/>
          <w:sz w:val="22"/>
          <w:szCs w:val="22"/>
        </w:rPr>
        <w:t xml:space="preserve">Stockage: Les données brutes sont stockees dans une data warehouse centralisee avec traçabilité et conformité Loi 25</w:t>
      </w:r>
    </w:p>
    <w:p>
      <w:pPr>
        <w:pStyle w:val="ListParagraph"/>
        <w:numPr>
          <w:ilvl w:val="0"/>
          <w:numId w:val="3"/>
        </w:numPr>
      </w:pPr>
      <w:r>
        <w:rPr>
          <w:rFonts w:ascii="Arial" w:cs="Arial" w:eastAsia="Arial" w:hAnsi="Arial"/>
          <w:color w:val="404040"/>
          <w:sz w:val="22"/>
          <w:szCs w:val="22"/>
        </w:rPr>
        <w:t xml:space="preserve">Transformation: Les données brutes sont transformees en métriques agrega par ETL ou data pipelines</w:t>
      </w:r>
    </w:p>
    <w:p>
      <w:pPr>
        <w:pStyle w:val="ListParagraph"/>
        <w:numPr>
          <w:ilvl w:val="0"/>
          <w:numId w:val="3"/>
        </w:numPr>
      </w:pPr>
      <w:r>
        <w:rPr>
          <w:rFonts w:ascii="Arial" w:cs="Arial" w:eastAsia="Arial" w:hAnsi="Arial"/>
          <w:color w:val="404040"/>
          <w:sz w:val="22"/>
          <w:szCs w:val="22"/>
        </w:rPr>
        <w:t xml:space="preserve">Validation: Les métriques calculees sont validees pour exactitude et cohérence logique</w:t>
      </w:r>
    </w:p>
    <w:p>
      <w:pPr>
        <w:pStyle w:val="ListParagraph"/>
        <w:numPr>
          <w:ilvl w:val="0"/>
          <w:numId w:val="3"/>
        </w:numPr>
      </w:pPr>
      <w:r>
        <w:rPr>
          <w:rFonts w:ascii="Arial" w:cs="Arial" w:eastAsia="Arial" w:hAnsi="Arial"/>
          <w:color w:val="404040"/>
          <w:sz w:val="22"/>
          <w:szCs w:val="22"/>
        </w:rPr>
        <w:t xml:space="preserve">Visualisation: Les métriques finales sont exposees dans les dashboards et rapports</w:t>
      </w:r>
    </w:p>
    <w:p>
      <w:pPr>
        <w:pStyle w:val="Heading2"/>
      </w:pPr>
      <w:r>
        <w:t xml:space="preserve">Fréquences de reporting</w:t>
      </w:r>
    </w:p>
    <w:p>
      <w:r>
        <w:rPr>
          <w:rFonts w:ascii="Arial" w:cs="Arial" w:eastAsia="Arial" w:hAnsi="Arial"/>
          <w:color w:val="404040"/>
          <w:sz w:val="22"/>
          <w:szCs w:val="22"/>
        </w:rPr>
        <w:t xml:space="preserve">Les métriques sont rapportées selon les fréquences suivantes: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3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 de rapport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Audience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Contenu principal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technique opérationnel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Equipes 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Quotidienne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alertes, incidents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d'activite métier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Hebdomadaire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Adoption, utilisation, satisfaction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de conformité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Comite de gouvernance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conformité, risques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de gouvernance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C.A.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Maturite, ROI, strategic insights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 annuel complet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Comite d'audit, conseil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Revue exhaustive de tous les KPIs</w:t>
            </w:r>
          </w:p>
        </w:tc>
      </w:tr>
    </w:tbl>
    <w:p>
      <w:pPr>
        <w:pStyle w:val="Heading1"/>
      </w:pPr>
      <w:r>
        <w:t xml:space="preserve">Thresholds et alertes</w:t>
      </w:r>
    </w:p>
    <w:p>
      <w:r>
        <w:rPr>
          <w:rFonts w:ascii="Arial" w:cs="Arial" w:eastAsia="Arial" w:hAnsi="Arial"/>
          <w:color w:val="404040"/>
          <w:sz w:val="22"/>
          <w:szCs w:val="22"/>
        </w:rPr>
        <w:t xml:space="preserve">Un système d'alertes est mis en place pour notifier rapidement les responsables en cas de dégradation de performance ou de conformité: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Exemples de seuils d'alerte</w:t>
            </w:r>
          </w:p>
          <w:p>
            <w:pPr>
              <w:spacing w:after="0"/>
            </w:pPr>
            <w:r>
              <w:rPr>
                <w:rFonts w:ascii="Arial" w:cs="Arial" w:eastAsia="Arial" w:hAnsi="Arial"/>
                <w:color w:val="404040"/>
                <w:sz w:val="20"/>
                <w:szCs w:val="20"/>
              </w:rPr>
              <w:t xml:space="preserve">Alerte ROUGE: Précision chute &lt; 80%, Disponibilite &lt; 95%, Incident de sécurité, Conformite Loi 25 &lt; 85%. Alerte ORANGE: Drift &gt; 3% mensuel, Satisfaction &lt; 3.0/5, Plainte de discrimination. Alerte JAUNE: Utilisation en baisse de 20%, ROI sous 1.2x. Escalade immediate pour alertes ROUGE au [RESPONSABLE_IA] et [DIRECTEUR_IT].</w:t>
            </w:r>
          </w:p>
        </w:tc>
      </w:tr>
    </w:tbl>
    <w:p>
      <w:pPr>
        <w:pStyle w:val="Heading1"/>
      </w:pPr>
      <w:r>
        <w:t xml:space="preserve">Responsabilites et gouvernance</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engineer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Infrastructure et pipelines de collecte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analyst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Calcul des métriques, validation, rapports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Interpretation strategique, recommendations</w:t>
            </w:r>
          </w:p>
        </w:tc>
      </w:tr>
    </w:tbl>
    <w:p>
      <w:pPr>
        <w:spacing w:before="200"/>
      </w:pPr>
    </w:p>
    <w:p>
      <w:pPr>
        <w:pStyle w:val="Heading1"/>
      </w:pPr>
      <w:r>
        <w:t xml:space="preserve">Exemples de visualisations</w:t>
      </w:r>
    </w:p>
    <w:p>
      <w:r>
        <w:rPr>
          <w:rFonts w:ascii="Arial" w:cs="Arial" w:eastAsia="Arial" w:hAnsi="Arial"/>
          <w:color w:val="404040"/>
          <w:sz w:val="22"/>
          <w:szCs w:val="22"/>
        </w:rPr>
        <w:t xml:space="preserve">Le tableau de bord principal comprend les visualisations suivantes:</w:t>
      </w:r>
    </w:p>
    <w:p>
      <w:pPr>
        <w:pStyle w:val="ListParagraph"/>
        <w:numPr>
          <w:ilvl w:val="0"/>
          <w:numId w:val="2"/>
        </w:numPr>
      </w:pPr>
      <w:r>
        <w:rPr>
          <w:rFonts w:ascii="Arial" w:cs="Arial" w:eastAsia="Arial" w:hAnsi="Arial"/>
          <w:color w:val="404040"/>
          <w:sz w:val="22"/>
          <w:szCs w:val="22"/>
        </w:rPr>
        <w:t xml:space="preserve">Graphique de tendance: Evolution de la précision et du drift mensuel pour chaque système</w:t>
      </w:r>
    </w:p>
    <w:p>
      <w:pPr>
        <w:pStyle w:val="ListParagraph"/>
        <w:numPr>
          <w:ilvl w:val="0"/>
          <w:numId w:val="2"/>
        </w:numPr>
      </w:pPr>
      <w:r>
        <w:rPr>
          <w:rFonts w:ascii="Arial" w:cs="Arial" w:eastAsia="Arial" w:hAnsi="Arial"/>
          <w:color w:val="404040"/>
          <w:sz w:val="22"/>
          <w:szCs w:val="22"/>
        </w:rPr>
        <w:t xml:space="preserve">Heatmap d'équité: Comparaison des métriques par groupe démographique</w:t>
      </w:r>
    </w:p>
    <w:p>
      <w:pPr>
        <w:pStyle w:val="ListParagraph"/>
        <w:numPr>
          <w:ilvl w:val="0"/>
          <w:numId w:val="2"/>
        </w:numPr>
      </w:pPr>
      <w:r>
        <w:rPr>
          <w:rFonts w:ascii="Arial" w:cs="Arial" w:eastAsia="Arial" w:hAnsi="Arial"/>
          <w:color w:val="404040"/>
          <w:sz w:val="22"/>
          <w:szCs w:val="22"/>
        </w:rPr>
        <w:t xml:space="preserve">Gauge / jauge: Indicateurs d'adoption et de satisfaction (0-100%)</w:t>
      </w:r>
    </w:p>
    <w:p>
      <w:pPr>
        <w:pStyle w:val="ListParagraph"/>
        <w:numPr>
          <w:ilvl w:val="0"/>
          <w:numId w:val="2"/>
        </w:numPr>
      </w:pPr>
      <w:r>
        <w:rPr>
          <w:rFonts w:ascii="Arial" w:cs="Arial" w:eastAsia="Arial" w:hAnsi="Arial"/>
          <w:color w:val="404040"/>
          <w:sz w:val="22"/>
          <w:szCs w:val="22"/>
        </w:rPr>
        <w:t xml:space="preserve">Nombre de cartes / cards: KPIs critiques (conformité %, ROI, incidents)</w:t>
      </w:r>
    </w:p>
    <w:p>
      <w:pPr>
        <w:pStyle w:val="ListParagraph"/>
        <w:numPr>
          <w:ilvl w:val="0"/>
          <w:numId w:val="2"/>
        </w:numPr>
      </w:pPr>
      <w:r>
        <w:rPr>
          <w:rFonts w:ascii="Arial" w:cs="Arial" w:eastAsia="Arial" w:hAnsi="Arial"/>
          <w:color w:val="404040"/>
          <w:sz w:val="22"/>
          <w:szCs w:val="22"/>
        </w:rPr>
        <w:t xml:space="preserve">Graphique en barres: Comparaison des performances entre systèmes</w:t>
      </w:r>
    </w:p>
    <w:p>
      <w:pPr>
        <w:pStyle w:val="ListParagraph"/>
        <w:numPr>
          <w:ilvl w:val="0"/>
          <w:numId w:val="2"/>
        </w:numPr>
      </w:pPr>
      <w:r>
        <w:rPr>
          <w:rFonts w:ascii="Arial" w:cs="Arial" w:eastAsia="Arial" w:hAnsi="Arial"/>
          <w:color w:val="404040"/>
          <w:sz w:val="22"/>
          <w:szCs w:val="22"/>
        </w:rPr>
        <w:t xml:space="preserve">Timeline: Historique des incidents et des actions de remediation</w:t>
      </w: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Définition des KPIs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Atelier pour definir les métriques adaptees a chaque système et métier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Mise en place de l'instrumentation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Installation de la collecte de données et des pipelines ETL</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Construction des dashboards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Creation des dashboards avec les outils Tableau/Power BI</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Tests et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Validation des métriques, calibrage des seuils d'alerte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Mise en production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Activation des alertes et reporting opérationnel</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KPI (Key Performance Indicator)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Indicateur cle de performance mesurant le succes d'une initiative ou d'un système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ROI (Return on Investment)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Ratio entre les gains générés et les investissements consentis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SLA (Service Level Agreement)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Accord de niveau de service définissant les attentes de performance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Drift du modele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Dégradation progressive de la performance d'un modele IA due a des changements dans les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EIVP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privee, selon la Loi 25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Disparate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Difference statistiquement significative dans les résultats pour differents groupes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ETL (Extract, Transform, Load)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Procèssus d'extraction, transformation et chargement de données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Tableau de bord et indicateurs de performance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2026-03-05T02:14:47.058Z</dcterms:created>
  <dcterms:modified xsi:type="dcterms:W3CDTF">2026-03-05T02:14:47.058Z</dcterms:modified>
</cp:coreProperties>
</file>

<file path=docProps/custom.xml><?xml version="1.0" encoding="utf-8"?>
<Properties xmlns="http://schemas.openxmlformats.org/officeDocument/2006/custom-properties" xmlns:vt="http://schemas.openxmlformats.org/officeDocument/2006/docPropsVTypes"/>
</file>