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de communication externe sur l'IA</w:t>
      </w:r>
    </w:p>
    <w:p>
      <w:pPr>
        <w:spacing w:after="600"/>
        <w:jc w:val="center"/>
      </w:pPr>
      <w:r>
        <w:rPr>
          <w:rFonts w:ascii="Arial" w:cs="Arial" w:eastAsia="Arial" w:hAnsi="Arial"/>
          <w:color w:val="2E75B6"/>
          <w:sz w:val="24"/>
          <w:szCs w:val="24"/>
        </w:rPr>
        <w:t xml:space="preserve">Strategie de communication transparente envers les parties prenantes externes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Guide de relations publiques et communication corporate</w:t>
      </w:r>
    </w:p>
    <w:p>
      <w:pPr>
        <w:pStyle w:val="ListParagraph"/>
        <w:numPr>
          <w:ilvl w:val="0"/>
          <w:numId w:val="2"/>
        </w:numPr>
      </w:pPr>
      <w:r>
        <w:rPr>
          <w:rFonts w:ascii="Arial" w:cs="Arial" w:eastAsia="Arial" w:hAnsi="Arial"/>
          <w:color w:val="404040"/>
          <w:sz w:val="22"/>
          <w:szCs w:val="22"/>
        </w:rPr>
        <w:t xml:space="preserve">Principes de transparence et responsabilite en 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guide definit comment [NOM_ORGANISATION] communique sur ses initiatives et systèmes IA aupres du public externe.</w:t>
      </w:r>
    </w:p>
    <w:p>
      <w:pPr>
        <w:pStyle w:val="Heading1"/>
      </w:pPr>
      <w:r>
        <w:t xml:space="preserve">Principes directeurs</w:t>
      </w:r>
    </w:p>
    <w:p>
      <w:pPr>
        <w:pStyle w:val="Heading2"/>
      </w:pPr>
      <w:r>
        <w:t xml:space="preserve">Transparence</w:t>
      </w:r>
    </w:p>
    <w:p>
      <w:r>
        <w:rPr>
          <w:rFonts w:ascii="Arial" w:cs="Arial" w:eastAsia="Arial" w:hAnsi="Arial"/>
          <w:color w:val="404040"/>
          <w:sz w:val="22"/>
          <w:szCs w:val="22"/>
        </w:rPr>
        <w:t xml:space="preserve">Nous divulguons comment l'IA est utilisee, ses limitations et les protections mises en place. Nous ne cachons pas les problemes, mais les abordons frontalement.</w:t>
      </w:r>
    </w:p>
    <w:p>
      <w:pPr>
        <w:pStyle w:val="Heading2"/>
      </w:pPr>
      <w:r>
        <w:t xml:space="preserve">Honnetete</w:t>
      </w:r>
    </w:p>
    <w:p>
      <w:r>
        <w:rPr>
          <w:rFonts w:ascii="Arial" w:cs="Arial" w:eastAsia="Arial" w:hAnsi="Arial"/>
          <w:color w:val="404040"/>
          <w:sz w:val="22"/>
          <w:szCs w:val="22"/>
        </w:rPr>
        <w:t xml:space="preserve">Nous sommes veridiques dans nos affirmations sur les capacites de l'IA. Nous evasons les exaggerations et les fausses promesses.</w:t>
      </w:r>
    </w:p>
    <w:p>
      <w:pPr>
        <w:pStyle w:val="Heading2"/>
      </w:pPr>
      <w:r>
        <w:t xml:space="preserve">Responsabilite</w:t>
      </w:r>
    </w:p>
    <w:p>
      <w:r>
        <w:rPr>
          <w:rFonts w:ascii="Arial" w:cs="Arial" w:eastAsia="Arial" w:hAnsi="Arial"/>
          <w:color w:val="404040"/>
          <w:sz w:val="22"/>
          <w:szCs w:val="22"/>
        </w:rPr>
        <w:t xml:space="preserve">Nous assumons la responsabilité des resultats et impacts de nos systèmes IA. Si une erreur se produit, nous la reconnaissons et expliquons comment nous la remedions.</w:t>
      </w:r>
    </w:p>
    <w:p>
      <w:pPr>
        <w:pStyle w:val="Heading2"/>
      </w:pPr>
      <w:r>
        <w:t xml:space="preserve">Équité et inclusion</w:t>
      </w:r>
    </w:p>
    <w:p>
      <w:r>
        <w:rPr>
          <w:rFonts w:ascii="Arial" w:cs="Arial" w:eastAsia="Arial" w:hAnsi="Arial"/>
          <w:color w:val="404040"/>
          <w:sz w:val="22"/>
          <w:szCs w:val="22"/>
        </w:rPr>
        <w:t xml:space="preserve">Nous communiquons de manière equitable avec tous les groupes et nous nous assurons que notre communication est inclusive et accessible.</w:t>
      </w:r>
    </w:p>
    <w:p>
      <w:pPr>
        <w:pStyle w:val="Heading2"/>
      </w:pPr>
      <w:r>
        <w:t xml:space="preserve">Conformité</w:t>
      </w:r>
    </w:p>
    <w:p>
      <w:r>
        <w:rPr>
          <w:rFonts w:ascii="Arial" w:cs="Arial" w:eastAsia="Arial" w:hAnsi="Arial"/>
          <w:color w:val="404040"/>
          <w:sz w:val="22"/>
          <w:szCs w:val="22"/>
        </w:rPr>
        <w:t xml:space="preserve">Toutes nos communications respectent la Loi 25, les regulations federales et autres exigences legales applicables.</w:t>
      </w:r>
    </w:p>
    <w:p>
      <w:pPr>
        <w:pStyle w:val="Heading1"/>
      </w:pPr>
      <w:r>
        <w:t xml:space="preserve">Audiences et messages clés</w:t>
      </w:r>
    </w:p>
    <w:p>
      <w:pPr>
        <w:pStyle w:val="Heading2"/>
      </w:pPr>
      <w:r>
        <w:t xml:space="preserve">Clients et utilisateurs finaux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Message client</w:t>
            </w:r>
          </w:p>
          <w:p>
            <w:pPr>
              <w:spacing w:after="0"/>
            </w:pPr>
            <w:r>
              <w:rPr>
                <w:rFonts w:ascii="Arial" w:cs="Arial" w:eastAsia="Arial" w:hAnsi="Arial"/>
                <w:color w:val="404040"/>
                <w:sz w:val="20"/>
                <w:szCs w:val="20"/>
              </w:rPr>
              <w:t xml:space="preserve">L'IA améliore nos services : plus rapides, plus precis et plus personnalises. Nous protegeons vos données selon les plus hauts standards. Vous conservez le control et la transparence.</w:t>
            </w:r>
          </w:p>
        </w:tc>
      </w:tr>
    </w:tbl>
    <w:p>
      <w:pPr>
        <w:pStyle w:val="Heading2"/>
      </w:pPr>
      <w:r>
        <w:t xml:space="preserve">Medias et influenceurs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Message media</w:t>
            </w:r>
          </w:p>
          <w:p>
            <w:pPr>
              <w:spacing w:after="0"/>
            </w:pPr>
            <w:r>
              <w:rPr>
                <w:rFonts w:ascii="Arial" w:cs="Arial" w:eastAsia="Arial" w:hAnsi="Arial"/>
                <w:color w:val="404040"/>
                <w:sz w:val="20"/>
                <w:szCs w:val="20"/>
              </w:rPr>
              <w:t xml:space="preserve">[NOM_ORGANISATION] est un chef de file dans l'adoption responsable de l'IA. Nous investissons dans la gouvernance, la transparence et les protections des droits.</w:t>
            </w:r>
          </w:p>
        </w:tc>
      </w:tr>
    </w:tbl>
    <w:p>
      <w:pPr>
        <w:pStyle w:val="Heading2"/>
      </w:pPr>
      <w:r>
        <w:t xml:space="preserve">Investisseurs et partenaires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Message investisseur</w:t>
            </w:r>
          </w:p>
          <w:p>
            <w:pPr>
              <w:spacing w:after="0"/>
            </w:pPr>
            <w:r>
              <w:rPr>
                <w:rFonts w:ascii="Arial" w:cs="Arial" w:eastAsia="Arial" w:hAnsi="Arial"/>
                <w:color w:val="404040"/>
                <w:sz w:val="20"/>
                <w:szCs w:val="20"/>
              </w:rPr>
              <w:t xml:space="preserve">L'IA est un moteur de croissance durable. Notre approche responsable reduit les risques reglementaires. Nos investissements dans la confiance creent un avantage competitif durable.</w:t>
            </w:r>
          </w:p>
        </w:tc>
      </w:tr>
    </w:tbl>
    <w:p>
      <w:pPr>
        <w:pStyle w:val="Heading2"/>
      </w:pPr>
      <w:r>
        <w:t xml:space="preserve">Autorites de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Message regulatoire</w:t>
            </w:r>
          </w:p>
          <w:p>
            <w:pPr>
              <w:spacing w:after="0"/>
            </w:pPr>
            <w:r>
              <w:rPr>
                <w:rFonts w:ascii="Arial" w:cs="Arial" w:eastAsia="Arial" w:hAnsi="Arial"/>
                <w:color w:val="404040"/>
                <w:sz w:val="20"/>
                <w:szCs w:val="20"/>
              </w:rPr>
              <w:t xml:space="preserve">[NOM_ORGANISATION] s'engage pleinement dans la conformite avec la Loi 25 et tous les cadres applicables. Nous collaborons avec les autorités et participons aux consultations publiques.</w:t>
            </w:r>
          </w:p>
        </w:tc>
      </w:tr>
    </w:tbl>
    <w:p>
      <w:pPr>
        <w:pStyle w:val="Heading1"/>
      </w:pPr>
      <w:r>
        <w:t xml:space="preserve">Communications ecrites formelles</w:t>
      </w:r>
    </w:p>
    <w:p>
      <w:pPr>
        <w:pStyle w:val="Heading2"/>
      </w:pPr>
      <w:r>
        <w:t xml:space="preserve">Site web - Section IA</w:t>
      </w:r>
    </w:p>
    <w:p>
      <w:r>
        <w:rPr>
          <w:rFonts w:ascii="Arial" w:cs="Arial" w:eastAsia="Arial" w:hAnsi="Arial"/>
          <w:color w:val="404040"/>
          <w:sz w:val="22"/>
          <w:szCs w:val="22"/>
        </w:rPr>
        <w:t xml:space="preserve">Contenu suggere :</w:t>
      </w:r>
    </w:p>
    <w:p>
      <w:pPr>
        <w:pStyle w:val="ListParagraph"/>
        <w:numPr>
          <w:ilvl w:val="0"/>
          <w:numId w:val="2"/>
        </w:numPr>
      </w:pPr>
      <w:r>
        <w:rPr>
          <w:rFonts w:ascii="Arial" w:cs="Arial" w:eastAsia="Arial" w:hAnsi="Arial"/>
          <w:color w:val="404040"/>
          <w:sz w:val="22"/>
          <w:szCs w:val="22"/>
        </w:rPr>
        <w:t xml:space="preserve">Page de vue d'ensemble : Qu'est-ce que l'IA et comment nous l'utilisons</w:t>
      </w:r>
    </w:p>
    <w:p>
      <w:pPr>
        <w:pStyle w:val="ListParagraph"/>
        <w:numPr>
          <w:ilvl w:val="0"/>
          <w:numId w:val="2"/>
        </w:numPr>
      </w:pPr>
      <w:r>
        <w:rPr>
          <w:rFonts w:ascii="Arial" w:cs="Arial" w:eastAsia="Arial" w:hAnsi="Arial"/>
          <w:color w:val="404040"/>
          <w:sz w:val="22"/>
          <w:szCs w:val="22"/>
        </w:rPr>
        <w:t xml:space="preserve">Initiatives clés : Descriptions des principaux projets et leur impact</w:t>
      </w:r>
    </w:p>
    <w:p>
      <w:pPr>
        <w:pStyle w:val="ListParagraph"/>
        <w:numPr>
          <w:ilvl w:val="0"/>
          <w:numId w:val="2"/>
        </w:numPr>
      </w:pPr>
      <w:r>
        <w:rPr>
          <w:rFonts w:ascii="Arial" w:cs="Arial" w:eastAsia="Arial" w:hAnsi="Arial"/>
          <w:color w:val="404040"/>
          <w:sz w:val="22"/>
          <w:szCs w:val="22"/>
        </w:rPr>
        <w:t xml:space="preserve">Gouvernance et ethique : Politiques et principes</w:t>
      </w:r>
    </w:p>
    <w:p>
      <w:pPr>
        <w:pStyle w:val="ListParagraph"/>
        <w:numPr>
          <w:ilvl w:val="0"/>
          <w:numId w:val="2"/>
        </w:numPr>
      </w:pPr>
      <w:r>
        <w:rPr>
          <w:rFonts w:ascii="Arial" w:cs="Arial" w:eastAsia="Arial" w:hAnsi="Arial"/>
          <w:color w:val="404040"/>
          <w:sz w:val="22"/>
          <w:szCs w:val="22"/>
        </w:rPr>
        <w:t xml:space="preserve">Conformité et protection des droits : Mesures de protection</w:t>
      </w:r>
    </w:p>
    <w:p>
      <w:pPr>
        <w:pStyle w:val="ListParagraph"/>
        <w:numPr>
          <w:ilvl w:val="0"/>
          <w:numId w:val="2"/>
        </w:numPr>
      </w:pPr>
      <w:r>
        <w:rPr>
          <w:rFonts w:ascii="Arial" w:cs="Arial" w:eastAsia="Arial" w:hAnsi="Arial"/>
          <w:color w:val="404040"/>
          <w:sz w:val="22"/>
          <w:szCs w:val="22"/>
        </w:rPr>
        <w:t xml:space="preserve">FAQ : Reponses aux questions courantes</w:t>
      </w:r>
    </w:p>
    <w:p>
      <w:pPr>
        <w:pStyle w:val="ListParagraph"/>
        <w:numPr>
          <w:ilvl w:val="0"/>
          <w:numId w:val="2"/>
        </w:numPr>
      </w:pPr>
      <w:r>
        <w:rPr>
          <w:rFonts w:ascii="Arial" w:cs="Arial" w:eastAsia="Arial" w:hAnsi="Arial"/>
          <w:color w:val="404040"/>
          <w:sz w:val="22"/>
          <w:szCs w:val="22"/>
        </w:rPr>
        <w:t xml:space="preserve">Nous contacter : Comment poser des questions</w:t>
      </w:r>
    </w:p>
    <w:p>
      <w:pPr>
        <w:pStyle w:val="Heading2"/>
      </w:pPr>
      <w:r>
        <w:t xml:space="preserve">Communiqués de presse</w:t>
      </w:r>
    </w:p>
    <w:p>
      <w:r>
        <w:rPr>
          <w:rFonts w:ascii="Arial" w:cs="Arial" w:eastAsia="Arial" w:hAnsi="Arial"/>
          <w:color w:val="404040"/>
          <w:sz w:val="22"/>
          <w:szCs w:val="22"/>
        </w:rPr>
        <w:t xml:space="preserve">Contextes pour les press releases :</w:t>
      </w:r>
    </w:p>
    <w:p>
      <w:pPr>
        <w:pStyle w:val="ListParagraph"/>
        <w:numPr>
          <w:ilvl w:val="0"/>
          <w:numId w:val="2"/>
        </w:numPr>
      </w:pPr>
      <w:r>
        <w:rPr>
          <w:rFonts w:ascii="Arial" w:cs="Arial" w:eastAsia="Arial" w:hAnsi="Arial"/>
          <w:color w:val="404040"/>
          <w:sz w:val="22"/>
          <w:szCs w:val="22"/>
        </w:rPr>
        <w:t xml:space="preserve">Lancement d'une nouvelle initiative IA majeure</w:t>
      </w:r>
    </w:p>
    <w:p>
      <w:pPr>
        <w:pStyle w:val="ListParagraph"/>
        <w:numPr>
          <w:ilvl w:val="0"/>
          <w:numId w:val="2"/>
        </w:numPr>
      </w:pPr>
      <w:r>
        <w:rPr>
          <w:rFonts w:ascii="Arial" w:cs="Arial" w:eastAsia="Arial" w:hAnsi="Arial"/>
          <w:color w:val="404040"/>
          <w:sz w:val="22"/>
          <w:szCs w:val="22"/>
        </w:rPr>
        <w:t xml:space="preserve">Resultats importants ou ameliorations de performance</w:t>
      </w:r>
    </w:p>
    <w:p>
      <w:pPr>
        <w:pStyle w:val="ListParagraph"/>
        <w:numPr>
          <w:ilvl w:val="0"/>
          <w:numId w:val="2"/>
        </w:numPr>
      </w:pPr>
      <w:r>
        <w:rPr>
          <w:rFonts w:ascii="Arial" w:cs="Arial" w:eastAsia="Arial" w:hAnsi="Arial"/>
          <w:color w:val="404040"/>
          <w:sz w:val="22"/>
          <w:szCs w:val="22"/>
        </w:rPr>
        <w:t xml:space="preserve">Prix ou recognition dans l'IA responsable</w:t>
      </w:r>
    </w:p>
    <w:p>
      <w:pPr>
        <w:pStyle w:val="ListParagraph"/>
        <w:numPr>
          <w:ilvl w:val="0"/>
          <w:numId w:val="2"/>
        </w:numPr>
      </w:pPr>
      <w:r>
        <w:rPr>
          <w:rFonts w:ascii="Arial" w:cs="Arial" w:eastAsia="Arial" w:hAnsi="Arial"/>
          <w:color w:val="404040"/>
          <w:sz w:val="22"/>
          <w:szCs w:val="22"/>
        </w:rPr>
        <w:t xml:space="preserve">Collaboration avec universites ou institutions</w:t>
      </w:r>
    </w:p>
    <w:p>
      <w:pPr>
        <w:pStyle w:val="ListParagraph"/>
        <w:numPr>
          <w:ilvl w:val="0"/>
          <w:numId w:val="2"/>
        </w:numPr>
      </w:pPr>
      <w:r>
        <w:rPr>
          <w:rFonts w:ascii="Arial" w:cs="Arial" w:eastAsia="Arial" w:hAnsi="Arial"/>
          <w:color w:val="404040"/>
          <w:sz w:val="22"/>
          <w:szCs w:val="22"/>
        </w:rPr>
        <w:t xml:space="preserve">Réponse a des enjeux ou preoccupations publiques</w:t>
      </w:r>
    </w:p>
    <w:p>
      <w:pPr>
        <w:pStyle w:val="Heading2"/>
      </w:pPr>
      <w:r>
        <w:t xml:space="preserve">Rapports CSR et RSE</w:t>
      </w:r>
    </w:p>
    <w:p>
      <w:r>
        <w:rPr>
          <w:rFonts w:ascii="Arial" w:cs="Arial" w:eastAsia="Arial" w:hAnsi="Arial"/>
          <w:color w:val="404040"/>
          <w:sz w:val="22"/>
          <w:szCs w:val="22"/>
        </w:rPr>
        <w:t xml:space="preserve">Inclusion de sections d'IA dans les rapports annuels :</w:t>
      </w:r>
    </w:p>
    <w:p>
      <w:pPr>
        <w:pStyle w:val="ListParagraph"/>
        <w:numPr>
          <w:ilvl w:val="0"/>
          <w:numId w:val="2"/>
        </w:numPr>
      </w:pPr>
      <w:r>
        <w:rPr>
          <w:rFonts w:ascii="Arial" w:cs="Arial" w:eastAsia="Arial" w:hAnsi="Arial"/>
          <w:color w:val="404040"/>
          <w:sz w:val="22"/>
          <w:szCs w:val="22"/>
        </w:rPr>
        <w:t xml:space="preserve">Apercu des initiatives IA et de leur alignement avec la strategie CSR</w:t>
      </w:r>
    </w:p>
    <w:p>
      <w:pPr>
        <w:pStyle w:val="ListParagraph"/>
        <w:numPr>
          <w:ilvl w:val="0"/>
          <w:numId w:val="2"/>
        </w:numPr>
      </w:pPr>
      <w:r>
        <w:rPr>
          <w:rFonts w:ascii="Arial" w:cs="Arial" w:eastAsia="Arial" w:hAnsi="Arial"/>
          <w:color w:val="404040"/>
          <w:sz w:val="22"/>
          <w:szCs w:val="22"/>
        </w:rPr>
        <w:t xml:space="preserve">Métriques d'impact (economique, social, environnemental)</w:t>
      </w:r>
    </w:p>
    <w:p>
      <w:pPr>
        <w:pStyle w:val="ListParagraph"/>
        <w:numPr>
          <w:ilvl w:val="0"/>
          <w:numId w:val="2"/>
        </w:numPr>
      </w:pPr>
      <w:r>
        <w:rPr>
          <w:rFonts w:ascii="Arial" w:cs="Arial" w:eastAsia="Arial" w:hAnsi="Arial"/>
          <w:color w:val="404040"/>
          <w:sz w:val="22"/>
          <w:szCs w:val="22"/>
        </w:rPr>
        <w:t xml:space="preserve">Gouvernance et structures de decision</w:t>
      </w:r>
    </w:p>
    <w:p>
      <w:pPr>
        <w:pStyle w:val="ListParagraph"/>
        <w:numPr>
          <w:ilvl w:val="0"/>
          <w:numId w:val="2"/>
        </w:numPr>
      </w:pPr>
      <w:r>
        <w:rPr>
          <w:rFonts w:ascii="Arial" w:cs="Arial" w:eastAsia="Arial" w:hAnsi="Arial"/>
          <w:color w:val="404040"/>
          <w:sz w:val="22"/>
          <w:szCs w:val="22"/>
        </w:rPr>
        <w:t xml:space="preserve">Assessments de risque et strategies d'attenuation</w:t>
      </w:r>
    </w:p>
    <w:p>
      <w:pPr>
        <w:pStyle w:val="ListParagraph"/>
        <w:numPr>
          <w:ilvl w:val="0"/>
          <w:numId w:val="2"/>
        </w:numPr>
      </w:pPr>
      <w:r>
        <w:rPr>
          <w:rFonts w:ascii="Arial" w:cs="Arial" w:eastAsia="Arial" w:hAnsi="Arial"/>
          <w:color w:val="404040"/>
          <w:sz w:val="22"/>
          <w:szCs w:val="22"/>
        </w:rPr>
        <w:t xml:space="preserve">Incidents ou challenges navigues et lessons learned</w:t>
      </w:r>
    </w:p>
    <w:p>
      <w:pPr>
        <w:pStyle w:val="Heading1"/>
      </w:pPr>
      <w:r>
        <w:t xml:space="preserve">Relations avec les medias</w:t>
      </w:r>
    </w:p>
    <w:p>
      <w:pPr>
        <w:pStyle w:val="Heading2"/>
      </w:pPr>
      <w:r>
        <w:t xml:space="preserve">Strategie medias</w:t>
      </w:r>
    </w:p>
    <w:p>
      <w:r>
        <w:rPr>
          <w:rFonts w:ascii="Arial" w:cs="Arial" w:eastAsia="Arial" w:hAnsi="Arial"/>
          <w:color w:val="404040"/>
          <w:sz w:val="22"/>
          <w:szCs w:val="22"/>
        </w:rPr>
        <w:t xml:space="preserve">[NOM_ORGANISATION] adopte une approche pro-active et transparente :</w:t>
      </w:r>
    </w:p>
    <w:p>
      <w:pPr>
        <w:pStyle w:val="ListParagraph"/>
        <w:numPr>
          <w:ilvl w:val="0"/>
          <w:numId w:val="2"/>
        </w:numPr>
      </w:pPr>
      <w:r>
        <w:rPr>
          <w:rFonts w:ascii="Arial" w:cs="Arial" w:eastAsia="Arial" w:hAnsi="Arial"/>
          <w:color w:val="404040"/>
          <w:sz w:val="22"/>
          <w:szCs w:val="22"/>
        </w:rPr>
        <w:t xml:space="preserve">Etre disponible pour les interviews et commentaires</w:t>
      </w:r>
    </w:p>
    <w:p>
      <w:pPr>
        <w:pStyle w:val="ListParagraph"/>
        <w:numPr>
          <w:ilvl w:val="0"/>
          <w:numId w:val="2"/>
        </w:numPr>
      </w:pPr>
      <w:r>
        <w:rPr>
          <w:rFonts w:ascii="Arial" w:cs="Arial" w:eastAsia="Arial" w:hAnsi="Arial"/>
          <w:color w:val="404040"/>
          <w:sz w:val="22"/>
          <w:szCs w:val="22"/>
        </w:rPr>
        <w:t xml:space="preserve">Fournir rapidement des informations factuelles exactes</w:t>
      </w:r>
    </w:p>
    <w:p>
      <w:pPr>
        <w:pStyle w:val="ListParagraph"/>
        <w:numPr>
          <w:ilvl w:val="0"/>
          <w:numId w:val="2"/>
        </w:numPr>
      </w:pPr>
      <w:r>
        <w:rPr>
          <w:rFonts w:ascii="Arial" w:cs="Arial" w:eastAsia="Arial" w:hAnsi="Arial"/>
          <w:color w:val="404040"/>
          <w:sz w:val="22"/>
          <w:szCs w:val="22"/>
        </w:rPr>
        <w:t xml:space="preserve">Adresser les preoccupations ou critiques directement</w:t>
      </w:r>
    </w:p>
    <w:p>
      <w:pPr>
        <w:pStyle w:val="ListParagraph"/>
        <w:numPr>
          <w:ilvl w:val="0"/>
          <w:numId w:val="2"/>
        </w:numPr>
      </w:pPr>
      <w:r>
        <w:rPr>
          <w:rFonts w:ascii="Arial" w:cs="Arial" w:eastAsia="Arial" w:hAnsi="Arial"/>
          <w:color w:val="404040"/>
          <w:sz w:val="22"/>
          <w:szCs w:val="22"/>
        </w:rPr>
        <w:t xml:space="preserve">Partager les lessons learned et les challenges, pas seulement les succès</w:t>
      </w:r>
    </w:p>
    <w:p>
      <w:pPr>
        <w:pStyle w:val="ListParagraph"/>
        <w:numPr>
          <w:ilvl w:val="0"/>
          <w:numId w:val="2"/>
        </w:numPr>
      </w:pPr>
      <w:r>
        <w:rPr>
          <w:rFonts w:ascii="Arial" w:cs="Arial" w:eastAsia="Arial" w:hAnsi="Arial"/>
          <w:color w:val="404040"/>
          <w:sz w:val="22"/>
          <w:szCs w:val="22"/>
        </w:rPr>
        <w:t xml:space="preserve">Identifier et proposer des experts internes comme sources</w:t>
      </w:r>
    </w:p>
    <w:p>
      <w:pPr>
        <w:pStyle w:val="Heading1"/>
      </w:pPr>
      <w:r>
        <w:t xml:space="preserve">Gestion de crise</w:t>
      </w:r>
    </w:p>
    <w:p>
      <w:pPr>
        <w:pStyle w:val="Heading2"/>
      </w:pPr>
      <w:r>
        <w:t xml:space="preserve">Scenarios de crise potentiels</w:t>
      </w:r>
    </w:p>
    <w:p>
      <w:pPr>
        <w:pStyle w:val="ListParagraph"/>
        <w:numPr>
          <w:ilvl w:val="0"/>
          <w:numId w:val="2"/>
        </w:numPr>
      </w:pPr>
      <w:r>
        <w:rPr>
          <w:rFonts w:ascii="Arial" w:cs="Arial" w:eastAsia="Arial" w:hAnsi="Arial"/>
          <w:color w:val="404040"/>
          <w:sz w:val="22"/>
          <w:szCs w:val="22"/>
        </w:rPr>
        <w:t xml:space="preserve">Incident majeur impliquant un système IA</w:t>
      </w:r>
    </w:p>
    <w:p>
      <w:pPr>
        <w:pStyle w:val="ListParagraph"/>
        <w:numPr>
          <w:ilvl w:val="0"/>
          <w:numId w:val="2"/>
        </w:numPr>
      </w:pPr>
      <w:r>
        <w:rPr>
          <w:rFonts w:ascii="Arial" w:cs="Arial" w:eastAsia="Arial" w:hAnsi="Arial"/>
          <w:color w:val="404040"/>
          <w:sz w:val="22"/>
          <w:szCs w:val="22"/>
        </w:rPr>
        <w:t xml:space="preserve">Decouverte d'un biais important affectant un groupe protege</w:t>
      </w:r>
    </w:p>
    <w:p>
      <w:pPr>
        <w:pStyle w:val="ListParagraph"/>
        <w:numPr>
          <w:ilvl w:val="0"/>
          <w:numId w:val="2"/>
        </w:numPr>
      </w:pPr>
      <w:r>
        <w:rPr>
          <w:rFonts w:ascii="Arial" w:cs="Arial" w:eastAsia="Arial" w:hAnsi="Arial"/>
          <w:color w:val="404040"/>
          <w:sz w:val="22"/>
          <w:szCs w:val="22"/>
        </w:rPr>
        <w:t xml:space="preserve">Fuite de données personnelles via un système IA</w:t>
      </w:r>
    </w:p>
    <w:p>
      <w:pPr>
        <w:pStyle w:val="ListParagraph"/>
        <w:numPr>
          <w:ilvl w:val="0"/>
          <w:numId w:val="2"/>
        </w:numPr>
      </w:pPr>
      <w:r>
        <w:rPr>
          <w:rFonts w:ascii="Arial" w:cs="Arial" w:eastAsia="Arial" w:hAnsi="Arial"/>
          <w:color w:val="404040"/>
          <w:sz w:val="22"/>
          <w:szCs w:val="22"/>
        </w:rPr>
        <w:t xml:space="preserve">Autorite de regulation lance une enquete</w:t>
      </w:r>
    </w:p>
    <w:p>
      <w:pPr>
        <w:pStyle w:val="ListParagraph"/>
        <w:numPr>
          <w:ilvl w:val="0"/>
          <w:numId w:val="2"/>
        </w:numPr>
      </w:pPr>
      <w:r>
        <w:rPr>
          <w:rFonts w:ascii="Arial" w:cs="Arial" w:eastAsia="Arial" w:hAnsi="Arial"/>
          <w:color w:val="404040"/>
          <w:sz w:val="22"/>
          <w:szCs w:val="22"/>
        </w:rPr>
        <w:t xml:space="preserve">Couverture negative majeure dans les medias</w:t>
      </w:r>
    </w:p>
    <w:p>
      <w:pPr>
        <w:pStyle w:val="Heading2"/>
      </w:pPr>
      <w:r>
        <w:t xml:space="preserve">Protocole de communication en crise</w:t>
      </w:r>
    </w:p>
    <w:p>
      <w:pPr>
        <w:pStyle w:val="Heading3"/>
      </w:pPr>
      <w:r>
        <w:t xml:space="preserve">Premiers 24 heures</w:t>
      </w:r>
    </w:p>
    <w:p>
      <w:pPr>
        <w:pStyle w:val="ListParagraph"/>
        <w:numPr>
          <w:ilvl w:val="0"/>
          <w:numId w:val="3"/>
        </w:numPr>
      </w:pPr>
      <w:r>
        <w:rPr>
          <w:rFonts w:ascii="Arial" w:cs="Arial" w:eastAsia="Arial" w:hAnsi="Arial"/>
          <w:color w:val="404040"/>
          <w:sz w:val="22"/>
          <w:szCs w:val="22"/>
        </w:rPr>
        <w:t xml:space="preserve">Activer l'equipe de crise</w:t>
      </w:r>
    </w:p>
    <w:p>
      <w:pPr>
        <w:pStyle w:val="ListParagraph"/>
        <w:numPr>
          <w:ilvl w:val="0"/>
          <w:numId w:val="3"/>
        </w:numPr>
      </w:pPr>
      <w:r>
        <w:rPr>
          <w:rFonts w:ascii="Arial" w:cs="Arial" w:eastAsia="Arial" w:hAnsi="Arial"/>
          <w:color w:val="404040"/>
          <w:sz w:val="22"/>
          <w:szCs w:val="22"/>
        </w:rPr>
        <w:t xml:space="preserve">Rassembler les faits rapidement</w:t>
      </w:r>
    </w:p>
    <w:p>
      <w:pPr>
        <w:pStyle w:val="ListParagraph"/>
        <w:numPr>
          <w:ilvl w:val="0"/>
          <w:numId w:val="3"/>
        </w:numPr>
      </w:pPr>
      <w:r>
        <w:rPr>
          <w:rFonts w:ascii="Arial" w:cs="Arial" w:eastAsia="Arial" w:hAnsi="Arial"/>
          <w:color w:val="404040"/>
          <w:sz w:val="22"/>
          <w:szCs w:val="22"/>
        </w:rPr>
        <w:t xml:space="preserve">Evaluer les impacts immediats</w:t>
      </w:r>
    </w:p>
    <w:p>
      <w:pPr>
        <w:pStyle w:val="ListParagraph"/>
        <w:numPr>
          <w:ilvl w:val="0"/>
          <w:numId w:val="3"/>
        </w:numPr>
      </w:pPr>
      <w:r>
        <w:rPr>
          <w:rFonts w:ascii="Arial" w:cs="Arial" w:eastAsia="Arial" w:hAnsi="Arial"/>
          <w:color w:val="404040"/>
          <w:sz w:val="22"/>
          <w:szCs w:val="22"/>
        </w:rPr>
        <w:t xml:space="preserve">Preparer une declaration initiale</w:t>
      </w:r>
    </w:p>
    <w:p>
      <w:pPr>
        <w:pStyle w:val="ListParagraph"/>
        <w:numPr>
          <w:ilvl w:val="0"/>
          <w:numId w:val="3"/>
        </w:numPr>
      </w:pPr>
      <w:r>
        <w:rPr>
          <w:rFonts w:ascii="Arial" w:cs="Arial" w:eastAsia="Arial" w:hAnsi="Arial"/>
          <w:color w:val="404040"/>
          <w:sz w:val="22"/>
          <w:szCs w:val="22"/>
        </w:rPr>
        <w:t xml:space="preserve">Communiquer avec tous les parties prenantes internes</w:t>
      </w:r>
    </w:p>
    <w:p>
      <w:pPr>
        <w:pStyle w:val="ListParagraph"/>
        <w:numPr>
          <w:ilvl w:val="0"/>
          <w:numId w:val="3"/>
        </w:numPr>
      </w:pPr>
      <w:r>
        <w:rPr>
          <w:rFonts w:ascii="Arial" w:cs="Arial" w:eastAsia="Arial" w:hAnsi="Arial"/>
          <w:color w:val="404040"/>
          <w:sz w:val="22"/>
          <w:szCs w:val="22"/>
        </w:rPr>
        <w:t xml:space="preserve">Preparer une réponse media</w:t>
      </w:r>
    </w:p>
    <w:p>
      <w:pPr>
        <w:pStyle w:val="Heading3"/>
      </w:pPr>
      <w:r>
        <w:t xml:space="preserve">Tone et messaging</w:t>
      </w:r>
    </w:p>
    <w:p>
      <w:r>
        <w:rPr>
          <w:rFonts w:ascii="Arial" w:cs="Arial" w:eastAsia="Arial" w:hAnsi="Arial"/>
          <w:color w:val="404040"/>
          <w:sz w:val="22"/>
          <w:szCs w:val="22"/>
        </w:rPr>
        <w:t xml:space="preserve">Principes importants :</w:t>
      </w:r>
    </w:p>
    <w:p>
      <w:pPr>
        <w:pStyle w:val="ListParagraph"/>
        <w:numPr>
          <w:ilvl w:val="0"/>
          <w:numId w:val="2"/>
        </w:numPr>
      </w:pPr>
      <w:r>
        <w:rPr>
          <w:rFonts w:ascii="Arial" w:cs="Arial" w:eastAsia="Arial" w:hAnsi="Arial"/>
          <w:color w:val="404040"/>
          <w:sz w:val="22"/>
          <w:szCs w:val="22"/>
        </w:rPr>
        <w:t xml:space="preserve">Empathie : Reconnaître l'impact sur ceux affectes</w:t>
      </w:r>
    </w:p>
    <w:p>
      <w:pPr>
        <w:pStyle w:val="ListParagraph"/>
        <w:numPr>
          <w:ilvl w:val="0"/>
          <w:numId w:val="2"/>
        </w:numPr>
      </w:pPr>
      <w:r>
        <w:rPr>
          <w:rFonts w:ascii="Arial" w:cs="Arial" w:eastAsia="Arial" w:hAnsi="Arial"/>
          <w:color w:val="404040"/>
          <w:sz w:val="22"/>
          <w:szCs w:val="22"/>
        </w:rPr>
        <w:t xml:space="preserve">Responsabilite : Assumer la responsabilite au lieu de blamer</w:t>
      </w:r>
    </w:p>
    <w:p>
      <w:pPr>
        <w:pStyle w:val="ListParagraph"/>
        <w:numPr>
          <w:ilvl w:val="0"/>
          <w:numId w:val="2"/>
        </w:numPr>
      </w:pPr>
      <w:r>
        <w:rPr>
          <w:rFonts w:ascii="Arial" w:cs="Arial" w:eastAsia="Arial" w:hAnsi="Arial"/>
          <w:color w:val="404040"/>
          <w:sz w:val="22"/>
          <w:szCs w:val="22"/>
        </w:rPr>
        <w:t xml:space="preserve">Transparence : Partager ce qui s'est passe sans detours</w:t>
      </w:r>
    </w:p>
    <w:p>
      <w:pPr>
        <w:pStyle w:val="ListParagraph"/>
        <w:numPr>
          <w:ilvl w:val="0"/>
          <w:numId w:val="2"/>
        </w:numPr>
      </w:pPr>
      <w:r>
        <w:rPr>
          <w:rFonts w:ascii="Arial" w:cs="Arial" w:eastAsia="Arial" w:hAnsi="Arial"/>
          <w:color w:val="404040"/>
          <w:sz w:val="22"/>
          <w:szCs w:val="22"/>
        </w:rPr>
        <w:t xml:space="preserve">Action : Demonstrer que nous prenons des mesures concretes</w:t>
      </w:r>
    </w:p>
    <w:p>
      <w:pPr>
        <w:pStyle w:val="ListParagraph"/>
        <w:numPr>
          <w:ilvl w:val="0"/>
          <w:numId w:val="2"/>
        </w:numPr>
      </w:pPr>
      <w:r>
        <w:rPr>
          <w:rFonts w:ascii="Arial" w:cs="Arial" w:eastAsia="Arial" w:hAnsi="Arial"/>
          <w:color w:val="404040"/>
          <w:sz w:val="22"/>
          <w:szCs w:val="22"/>
        </w:rPr>
        <w:t xml:space="preserve">Engagement : Montrer que nous sommes disposes a dialoguer</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Communications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Coordinate toutes les communications externes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Fournit les informations techniques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les aspects de confidentialite</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Preparation et developpement de contenu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[MOIS_1_2]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Lancement et engagement medias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[MOIS_2_3]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Entretien et monitoring</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[MOIS_4_12]</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Divulgation claire et complete des faits pertinents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Responsabilite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Acceptation de la responsabilite pour les consequences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Messaging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Articulation des messages clés pour communiquer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Crisis communication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Communications coordonnees en response a une crise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de communication externe sur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2026-03-05T02:15:17.355Z</dcterms:created>
  <dcterms:modified xsi:type="dcterms:W3CDTF">2026-03-05T02:15:17.355Z</dcterms:modified>
</cp:coreProperties>
</file>

<file path=docProps/custom.xml><?xml version="1.0" encoding="utf-8"?>
<Properties xmlns="http://schemas.openxmlformats.org/officeDocument/2006/custom-properties" xmlns:vt="http://schemas.openxmlformats.org/officeDocument/2006/docPropsVTypes"/>
</file>