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Politique d'engagement des parties prenantes</w:t>
      </w:r>
    </w:p>
    <w:p>
      <w:pPr>
        <w:spacing w:after="600"/>
        <w:jc w:val="center"/>
      </w:pPr>
      <w:r>
        <w:rPr>
          <w:rFonts w:ascii="Arial" w:cs="Arial" w:eastAsia="Arial" w:hAnsi="Arial"/>
          <w:color w:val="2E75B6"/>
          <w:sz w:val="24"/>
          <w:szCs w:val="24"/>
        </w:rPr>
        <w:t xml:space="preserve">Cadre pour l'engagement constructif avec toutes les parties prenantes affectees par l'IA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Normes d'engagement des parties prenantes - AA1000SES</w:t>
      </w:r>
    </w:p>
    <w:p>
      <w:pPr>
        <w:pStyle w:val="ListParagraph"/>
        <w:numPr>
          <w:ilvl w:val="0"/>
          <w:numId w:val="2"/>
        </w:numPr>
      </w:pPr>
      <w:r>
        <w:rPr>
          <w:rFonts w:ascii="Arial" w:cs="Arial" w:eastAsia="Arial" w:hAnsi="Arial"/>
          <w:color w:val="404040"/>
          <w:sz w:val="22"/>
          <w:szCs w:val="22"/>
        </w:rPr>
        <w:t xml:space="preserve">ISO 42001 - Engagement des parties prenantes dans la gouvernance IA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portée</w:t>
      </w:r>
    </w:p>
    <w:p>
      <w:r>
        <w:rPr>
          <w:rFonts w:ascii="Arial" w:cs="Arial" w:eastAsia="Arial" w:hAnsi="Arial"/>
          <w:color w:val="404040"/>
          <w:sz w:val="22"/>
          <w:szCs w:val="22"/>
        </w:rPr>
        <w:t xml:space="preserve">La presente politique etablit un cadre pour l'engagement constructif et continu de [NOM_ORGANISATION] avec toutes les parties prenantes affectees par les initiatives et systèmes IA.</w:t>
      </w:r>
    </w:p>
    <w:p>
      <w:pPr>
        <w:pStyle w:val="Heading1"/>
      </w:pPr>
      <w:r>
        <w:t xml:space="preserve">Definition et identification des parties prenantes</w:t>
      </w:r>
    </w:p>
    <w:p>
      <w:r>
        <w:rPr>
          <w:rFonts w:ascii="Arial" w:cs="Arial" w:eastAsia="Arial" w:hAnsi="Arial"/>
          <w:color w:val="404040"/>
          <w:sz w:val="22"/>
          <w:szCs w:val="22"/>
        </w:rPr>
        <w:t xml:space="preserve">Les parties prenantes incluent tout groupe ou individu potentiellement affecte par les systèmes ou policies IA :</w:t>
      </w:r>
    </w:p>
    <w:p>
      <w:pPr>
        <w:pStyle w:val="ListParagraph"/>
        <w:numPr>
          <w:ilvl w:val="0"/>
          <w:numId w:val="2"/>
        </w:numPr>
      </w:pPr>
      <w:r>
        <w:rPr>
          <w:rFonts w:ascii="Arial" w:cs="Arial" w:eastAsia="Arial" w:hAnsi="Arial"/>
          <w:color w:val="404040"/>
          <w:sz w:val="22"/>
          <w:szCs w:val="22"/>
        </w:rPr>
        <w:t xml:space="preserve">Employes et representants syndicaux</w:t>
      </w:r>
    </w:p>
    <w:p>
      <w:pPr>
        <w:pStyle w:val="ListParagraph"/>
        <w:numPr>
          <w:ilvl w:val="0"/>
          <w:numId w:val="2"/>
        </w:numPr>
      </w:pPr>
      <w:r>
        <w:rPr>
          <w:rFonts w:ascii="Arial" w:cs="Arial" w:eastAsia="Arial" w:hAnsi="Arial"/>
          <w:color w:val="404040"/>
          <w:sz w:val="22"/>
          <w:szCs w:val="22"/>
        </w:rPr>
        <w:t xml:space="preserve">Clients et utilisateurs finaux</w:t>
      </w:r>
    </w:p>
    <w:p>
      <w:pPr>
        <w:pStyle w:val="ListParagraph"/>
        <w:numPr>
          <w:ilvl w:val="0"/>
          <w:numId w:val="2"/>
        </w:numPr>
      </w:pPr>
      <w:r>
        <w:rPr>
          <w:rFonts w:ascii="Arial" w:cs="Arial" w:eastAsia="Arial" w:hAnsi="Arial"/>
          <w:color w:val="404040"/>
          <w:sz w:val="22"/>
          <w:szCs w:val="22"/>
        </w:rPr>
        <w:t xml:space="preserve">Investisseurs et actionnaires</w:t>
      </w:r>
    </w:p>
    <w:p>
      <w:pPr>
        <w:pStyle w:val="ListParagraph"/>
        <w:numPr>
          <w:ilvl w:val="0"/>
          <w:numId w:val="2"/>
        </w:numPr>
      </w:pPr>
      <w:r>
        <w:rPr>
          <w:rFonts w:ascii="Arial" w:cs="Arial" w:eastAsia="Arial" w:hAnsi="Arial"/>
          <w:color w:val="404040"/>
          <w:sz w:val="22"/>
          <w:szCs w:val="22"/>
        </w:rPr>
        <w:t xml:space="preserve">Autorites gouvernementales et regulateurs</w:t>
      </w:r>
    </w:p>
    <w:p>
      <w:pPr>
        <w:pStyle w:val="ListParagraph"/>
        <w:numPr>
          <w:ilvl w:val="0"/>
          <w:numId w:val="2"/>
        </w:numPr>
      </w:pPr>
      <w:r>
        <w:rPr>
          <w:rFonts w:ascii="Arial" w:cs="Arial" w:eastAsia="Arial" w:hAnsi="Arial"/>
          <w:color w:val="404040"/>
          <w:sz w:val="22"/>
          <w:szCs w:val="22"/>
        </w:rPr>
        <w:t xml:space="preserve">Groupes de droits et societe civile</w:t>
      </w:r>
    </w:p>
    <w:p>
      <w:pPr>
        <w:pStyle w:val="ListParagraph"/>
        <w:numPr>
          <w:ilvl w:val="0"/>
          <w:numId w:val="2"/>
        </w:numPr>
      </w:pPr>
      <w:r>
        <w:rPr>
          <w:rFonts w:ascii="Arial" w:cs="Arial" w:eastAsia="Arial" w:hAnsi="Arial"/>
          <w:color w:val="404040"/>
          <w:sz w:val="22"/>
          <w:szCs w:val="22"/>
        </w:rPr>
        <w:t xml:space="preserve">Universites et chercheurs</w:t>
      </w:r>
    </w:p>
    <w:p>
      <w:pPr>
        <w:pStyle w:val="ListParagraph"/>
        <w:numPr>
          <w:ilvl w:val="0"/>
          <w:numId w:val="2"/>
        </w:numPr>
      </w:pPr>
      <w:r>
        <w:rPr>
          <w:rFonts w:ascii="Arial" w:cs="Arial" w:eastAsia="Arial" w:hAnsi="Arial"/>
          <w:color w:val="404040"/>
          <w:sz w:val="22"/>
          <w:szCs w:val="22"/>
        </w:rPr>
        <w:t xml:space="preserve">Partenaires et fournisseurs</w:t>
      </w:r>
    </w:p>
    <w:p>
      <w:pPr>
        <w:pStyle w:val="ListParagraph"/>
        <w:numPr>
          <w:ilvl w:val="0"/>
          <w:numId w:val="2"/>
        </w:numPr>
      </w:pPr>
      <w:r>
        <w:rPr>
          <w:rFonts w:ascii="Arial" w:cs="Arial" w:eastAsia="Arial" w:hAnsi="Arial"/>
          <w:color w:val="404040"/>
          <w:sz w:val="22"/>
          <w:szCs w:val="22"/>
        </w:rPr>
        <w:t xml:space="preserve">Communautes affectees</w:t>
      </w:r>
    </w:p>
    <w:p>
      <w:pPr>
        <w:pStyle w:val="ListParagraph"/>
        <w:numPr>
          <w:ilvl w:val="0"/>
          <w:numId w:val="2"/>
        </w:numPr>
      </w:pPr>
      <w:r>
        <w:rPr>
          <w:rFonts w:ascii="Arial" w:cs="Arial" w:eastAsia="Arial" w:hAnsi="Arial"/>
          <w:color w:val="404040"/>
          <w:sz w:val="22"/>
          <w:szCs w:val="22"/>
        </w:rPr>
        <w:t xml:space="preserve">Grand public</w:t>
      </w:r>
    </w:p>
    <w:p>
      <w:pPr>
        <w:pStyle w:val="Heading1"/>
      </w:pPr>
      <w:r>
        <w:t xml:space="preserve">Objectifs de l'engagement</w:t>
      </w:r>
    </w:p>
    <w:p>
      <w:pPr>
        <w:pStyle w:val="ListParagraph"/>
        <w:numPr>
          <w:ilvl w:val="0"/>
          <w:numId w:val="3"/>
        </w:numPr>
      </w:pPr>
      <w:r>
        <w:rPr>
          <w:rFonts w:ascii="Arial" w:cs="Arial" w:eastAsia="Arial" w:hAnsi="Arial"/>
          <w:color w:val="404040"/>
          <w:sz w:val="22"/>
          <w:szCs w:val="22"/>
        </w:rPr>
        <w:t xml:space="preserve">Comprendre les perspectives et preoccupations des parties prenantes</w:t>
      </w:r>
    </w:p>
    <w:p>
      <w:pPr>
        <w:pStyle w:val="ListParagraph"/>
        <w:numPr>
          <w:ilvl w:val="0"/>
          <w:numId w:val="3"/>
        </w:numPr>
      </w:pPr>
      <w:r>
        <w:rPr>
          <w:rFonts w:ascii="Arial" w:cs="Arial" w:eastAsia="Arial" w:hAnsi="Arial"/>
          <w:color w:val="404040"/>
          <w:sz w:val="22"/>
          <w:szCs w:val="22"/>
        </w:rPr>
        <w:t xml:space="preserve">Incorporer le feedback dans la conception des systèmes IA</w:t>
      </w:r>
    </w:p>
    <w:p>
      <w:pPr>
        <w:pStyle w:val="ListParagraph"/>
        <w:numPr>
          <w:ilvl w:val="0"/>
          <w:numId w:val="3"/>
        </w:numPr>
      </w:pPr>
      <w:r>
        <w:rPr>
          <w:rFonts w:ascii="Arial" w:cs="Arial" w:eastAsia="Arial" w:hAnsi="Arial"/>
          <w:color w:val="404040"/>
          <w:sz w:val="22"/>
          <w:szCs w:val="22"/>
        </w:rPr>
        <w:t xml:space="preserve">Construire la confiance via une communication transparente</w:t>
      </w:r>
    </w:p>
    <w:p>
      <w:pPr>
        <w:pStyle w:val="ListParagraph"/>
        <w:numPr>
          <w:ilvl w:val="0"/>
          <w:numId w:val="3"/>
        </w:numPr>
      </w:pPr>
      <w:r>
        <w:rPr>
          <w:rFonts w:ascii="Arial" w:cs="Arial" w:eastAsia="Arial" w:hAnsi="Arial"/>
          <w:color w:val="404040"/>
          <w:sz w:val="22"/>
          <w:szCs w:val="22"/>
        </w:rPr>
        <w:t xml:space="preserve">Assurer le respect des valeurs et des droits</w:t>
      </w:r>
    </w:p>
    <w:p>
      <w:pPr>
        <w:pStyle w:val="ListParagraph"/>
        <w:numPr>
          <w:ilvl w:val="0"/>
          <w:numId w:val="3"/>
        </w:numPr>
      </w:pPr>
      <w:r>
        <w:rPr>
          <w:rFonts w:ascii="Arial" w:cs="Arial" w:eastAsia="Arial" w:hAnsi="Arial"/>
          <w:color w:val="404040"/>
          <w:sz w:val="22"/>
          <w:szCs w:val="22"/>
        </w:rPr>
        <w:t xml:space="preserve">Identifier et adresser les risques ethiques et sociaux</w:t>
      </w:r>
    </w:p>
    <w:p>
      <w:pPr>
        <w:pStyle w:val="ListParagraph"/>
        <w:numPr>
          <w:ilvl w:val="0"/>
          <w:numId w:val="3"/>
        </w:numPr>
      </w:pPr>
      <w:r>
        <w:rPr>
          <w:rFonts w:ascii="Arial" w:cs="Arial" w:eastAsia="Arial" w:hAnsi="Arial"/>
          <w:color w:val="404040"/>
          <w:sz w:val="22"/>
          <w:szCs w:val="22"/>
        </w:rPr>
        <w:t xml:space="preserve">Contribuer au developpement de normes responsables</w:t>
      </w:r>
    </w:p>
    <w:p>
      <w:pPr>
        <w:pStyle w:val="Heading1"/>
      </w:pPr>
      <w:r>
        <w:t xml:space="preserve">Mecanismes d'engagement</w:t>
      </w:r>
    </w:p>
    <w:p>
      <w:pPr>
        <w:pStyle w:val="Heading2"/>
      </w:pPr>
      <w:r>
        <w:t xml:space="preserve">Consultations formelles</w:t>
      </w:r>
    </w:p>
    <w:p>
      <w:r>
        <w:rPr>
          <w:rFonts w:ascii="Arial" w:cs="Arial" w:eastAsia="Arial" w:hAnsi="Arial"/>
          <w:color w:val="404040"/>
          <w:sz w:val="22"/>
          <w:szCs w:val="22"/>
        </w:rPr>
        <w:t xml:space="preserve">Processus structures pour solliciter le feedback sur des propositions ou politiques specifiques.</w:t>
      </w:r>
    </w:p>
    <w:p>
      <w:pPr>
        <w:pStyle w:val="ListParagraph"/>
        <w:numPr>
          <w:ilvl w:val="0"/>
          <w:numId w:val="2"/>
        </w:numPr>
      </w:pPr>
      <w:r>
        <w:rPr>
          <w:rFonts w:ascii="Arial" w:cs="Arial" w:eastAsia="Arial" w:hAnsi="Arial"/>
          <w:color w:val="404040"/>
          <w:sz w:val="22"/>
          <w:szCs w:val="22"/>
        </w:rPr>
        <w:t xml:space="preserve">Consultations publiques sur les nouvelles initiatives IA majeures</w:t>
      </w:r>
    </w:p>
    <w:p>
      <w:pPr>
        <w:pStyle w:val="ListParagraph"/>
        <w:numPr>
          <w:ilvl w:val="0"/>
          <w:numId w:val="2"/>
        </w:numPr>
      </w:pPr>
      <w:r>
        <w:rPr>
          <w:rFonts w:ascii="Arial" w:cs="Arial" w:eastAsia="Arial" w:hAnsi="Arial"/>
          <w:color w:val="404040"/>
          <w:sz w:val="22"/>
          <w:szCs w:val="22"/>
        </w:rPr>
        <w:t xml:space="preserve">Groupes consultatifs avec parties prenantes clés</w:t>
      </w:r>
    </w:p>
    <w:p>
      <w:pPr>
        <w:pStyle w:val="ListParagraph"/>
        <w:numPr>
          <w:ilvl w:val="0"/>
          <w:numId w:val="2"/>
        </w:numPr>
      </w:pPr>
      <w:r>
        <w:rPr>
          <w:rFonts w:ascii="Arial" w:cs="Arial" w:eastAsia="Arial" w:hAnsi="Arial"/>
          <w:color w:val="404040"/>
          <w:sz w:val="22"/>
          <w:szCs w:val="22"/>
        </w:rPr>
        <w:t xml:space="preserve">Commentaires formels sur les policies ou directives proposees</w:t>
      </w:r>
    </w:p>
    <w:p>
      <w:pPr>
        <w:pStyle w:val="ListParagraph"/>
        <w:numPr>
          <w:ilvl w:val="0"/>
          <w:numId w:val="2"/>
        </w:numPr>
      </w:pPr>
      <w:r>
        <w:rPr>
          <w:rFonts w:ascii="Arial" w:cs="Arial" w:eastAsia="Arial" w:hAnsi="Arial"/>
          <w:color w:val="404040"/>
          <w:sz w:val="22"/>
          <w:szCs w:val="22"/>
        </w:rPr>
        <w:t xml:space="preserve">Focus groups pour explorer les perspectives detaillees</w:t>
      </w:r>
    </w:p>
    <w:p>
      <w:pPr>
        <w:pStyle w:val="Heading2"/>
      </w:pPr>
      <w:r>
        <w:t xml:space="preserve">Dialogues et forums</w:t>
      </w:r>
    </w:p>
    <w:p>
      <w:r>
        <w:rPr>
          <w:rFonts w:ascii="Arial" w:cs="Arial" w:eastAsia="Arial" w:hAnsi="Arial"/>
          <w:color w:val="404040"/>
          <w:sz w:val="22"/>
          <w:szCs w:val="22"/>
        </w:rPr>
        <w:t xml:space="preserve">Forums ouverts pour les dialogues bidirectionnels et l'echange de perspectives.</w:t>
      </w:r>
    </w:p>
    <w:p>
      <w:pPr>
        <w:pStyle w:val="ListParagraph"/>
        <w:numPr>
          <w:ilvl w:val="0"/>
          <w:numId w:val="2"/>
        </w:numPr>
      </w:pPr>
      <w:r>
        <w:rPr>
          <w:rFonts w:ascii="Arial" w:cs="Arial" w:eastAsia="Arial" w:hAnsi="Arial"/>
          <w:color w:val="404040"/>
          <w:sz w:val="22"/>
          <w:szCs w:val="22"/>
        </w:rPr>
        <w:t xml:space="preserve">Reunions régulières avec employés</w:t>
      </w:r>
    </w:p>
    <w:p>
      <w:pPr>
        <w:pStyle w:val="ListParagraph"/>
        <w:numPr>
          <w:ilvl w:val="0"/>
          <w:numId w:val="2"/>
        </w:numPr>
      </w:pPr>
      <w:r>
        <w:rPr>
          <w:rFonts w:ascii="Arial" w:cs="Arial" w:eastAsia="Arial" w:hAnsi="Arial"/>
          <w:color w:val="404040"/>
          <w:sz w:val="22"/>
          <w:szCs w:val="22"/>
        </w:rPr>
        <w:t xml:space="preserve">Town halls avec direction ou experts IA</w:t>
      </w:r>
    </w:p>
    <w:p>
      <w:pPr>
        <w:pStyle w:val="ListParagraph"/>
        <w:numPr>
          <w:ilvl w:val="0"/>
          <w:numId w:val="2"/>
        </w:numPr>
      </w:pPr>
      <w:r>
        <w:rPr>
          <w:rFonts w:ascii="Arial" w:cs="Arial" w:eastAsia="Arial" w:hAnsi="Arial"/>
          <w:color w:val="404040"/>
          <w:sz w:val="22"/>
          <w:szCs w:val="22"/>
        </w:rPr>
        <w:t xml:space="preserve">Dialogues facilites avec groupes de droits</w:t>
      </w:r>
    </w:p>
    <w:p>
      <w:pPr>
        <w:pStyle w:val="ListParagraph"/>
        <w:numPr>
          <w:ilvl w:val="0"/>
          <w:numId w:val="2"/>
        </w:numPr>
      </w:pPr>
      <w:r>
        <w:rPr>
          <w:rFonts w:ascii="Arial" w:cs="Arial" w:eastAsia="Arial" w:hAnsi="Arial"/>
          <w:color w:val="404040"/>
          <w:sz w:val="22"/>
          <w:szCs w:val="22"/>
        </w:rPr>
        <w:t xml:space="preserve">Webinaires publics sur des sujets d'interet général</w:t>
      </w:r>
    </w:p>
    <w:p>
      <w:pPr>
        <w:pStyle w:val="Heading2"/>
      </w:pPr>
      <w:r>
        <w:t xml:space="preserve">Comites consultatifs</w:t>
      </w:r>
    </w:p>
    <w:p>
      <w:r>
        <w:rPr>
          <w:rFonts w:ascii="Arial" w:cs="Arial" w:eastAsia="Arial" w:hAnsi="Arial"/>
          <w:color w:val="404040"/>
          <w:sz w:val="22"/>
          <w:szCs w:val="22"/>
        </w:rPr>
        <w:t xml:space="preserve">Structures permanentes de conseil pour l'engagement continu.</w:t>
      </w:r>
    </w:p>
    <w:p>
      <w:pPr>
        <w:pStyle w:val="ListParagraph"/>
        <w:numPr>
          <w:ilvl w:val="0"/>
          <w:numId w:val="2"/>
        </w:numPr>
      </w:pPr>
      <w:r>
        <w:rPr>
          <w:rFonts w:ascii="Arial" w:cs="Arial" w:eastAsia="Arial" w:hAnsi="Arial"/>
          <w:color w:val="404040"/>
          <w:sz w:val="22"/>
          <w:szCs w:val="22"/>
        </w:rPr>
        <w:t xml:space="preserve">Comite consultatif IA : Experts externes conseilant sur la strategie</w:t>
      </w:r>
    </w:p>
    <w:p>
      <w:pPr>
        <w:pStyle w:val="ListParagraph"/>
        <w:numPr>
          <w:ilvl w:val="0"/>
          <w:numId w:val="2"/>
        </w:numPr>
      </w:pPr>
      <w:r>
        <w:rPr>
          <w:rFonts w:ascii="Arial" w:cs="Arial" w:eastAsia="Arial" w:hAnsi="Arial"/>
          <w:color w:val="404040"/>
          <w:sz w:val="22"/>
          <w:szCs w:val="22"/>
        </w:rPr>
        <w:t xml:space="preserve">Comite d'ethique IA : Évaluation des implications ethiques</w:t>
      </w:r>
    </w:p>
    <w:p>
      <w:pPr>
        <w:pStyle w:val="ListParagraph"/>
        <w:numPr>
          <w:ilvl w:val="0"/>
          <w:numId w:val="2"/>
        </w:numPr>
      </w:pPr>
      <w:r>
        <w:rPr>
          <w:rFonts w:ascii="Arial" w:cs="Arial" w:eastAsia="Arial" w:hAnsi="Arial"/>
          <w:color w:val="404040"/>
          <w:sz w:val="22"/>
          <w:szCs w:val="22"/>
        </w:rPr>
        <w:t xml:space="preserve">Comite employés : Representation employe dans les decisions</w:t>
      </w:r>
    </w:p>
    <w:p>
      <w:pPr>
        <w:pStyle w:val="ListParagraph"/>
        <w:numPr>
          <w:ilvl w:val="0"/>
          <w:numId w:val="2"/>
        </w:numPr>
      </w:pPr>
      <w:r>
        <w:rPr>
          <w:rFonts w:ascii="Arial" w:cs="Arial" w:eastAsia="Arial" w:hAnsi="Arial"/>
          <w:color w:val="404040"/>
          <w:sz w:val="22"/>
          <w:szCs w:val="22"/>
        </w:rPr>
        <w:t xml:space="preserve">Comite client : Feedback direct des utilisateurs finaux</w:t>
      </w:r>
    </w:p>
    <w:p>
      <w:pPr>
        <w:pStyle w:val="Heading2"/>
      </w:pPr>
      <w:r>
        <w:t xml:space="preserve">Canaux de feedback</w:t>
      </w:r>
    </w:p>
    <w:p>
      <w:r>
        <w:rPr>
          <w:rFonts w:ascii="Arial" w:cs="Arial" w:eastAsia="Arial" w:hAnsi="Arial"/>
          <w:color w:val="404040"/>
          <w:sz w:val="22"/>
          <w:szCs w:val="22"/>
        </w:rPr>
        <w:t xml:space="preserve">Mecanismes pour les parties prenantes de partager du feedback ou des preoccupations.</w:t>
      </w:r>
    </w:p>
    <w:p>
      <w:pPr>
        <w:pStyle w:val="ListParagraph"/>
        <w:numPr>
          <w:ilvl w:val="0"/>
          <w:numId w:val="2"/>
        </w:numPr>
      </w:pPr>
      <w:r>
        <w:rPr>
          <w:rFonts w:ascii="Arial" w:cs="Arial" w:eastAsia="Arial" w:hAnsi="Arial"/>
          <w:color w:val="404040"/>
          <w:sz w:val="22"/>
          <w:szCs w:val="22"/>
        </w:rPr>
        <w:t xml:space="preserve">Email dedies (feedback@..., concerns@...)</w:t>
      </w:r>
    </w:p>
    <w:p>
      <w:pPr>
        <w:pStyle w:val="ListParagraph"/>
        <w:numPr>
          <w:ilvl w:val="0"/>
          <w:numId w:val="2"/>
        </w:numPr>
      </w:pPr>
      <w:r>
        <w:rPr>
          <w:rFonts w:ascii="Arial" w:cs="Arial" w:eastAsia="Arial" w:hAnsi="Arial"/>
          <w:color w:val="404040"/>
          <w:sz w:val="22"/>
          <w:szCs w:val="22"/>
        </w:rPr>
        <w:t xml:space="preserve">Hotline telephonique confidentielle</w:t>
      </w:r>
    </w:p>
    <w:p>
      <w:pPr>
        <w:pStyle w:val="ListParagraph"/>
        <w:numPr>
          <w:ilvl w:val="0"/>
          <w:numId w:val="2"/>
        </w:numPr>
      </w:pPr>
      <w:r>
        <w:rPr>
          <w:rFonts w:ascii="Arial" w:cs="Arial" w:eastAsia="Arial" w:hAnsi="Arial"/>
          <w:color w:val="404040"/>
          <w:sz w:val="22"/>
          <w:szCs w:val="22"/>
        </w:rPr>
        <w:t xml:space="preserve">Portail web ou formulaire en ligne</w:t>
      </w:r>
    </w:p>
    <w:p>
      <w:pPr>
        <w:pStyle w:val="ListParagraph"/>
        <w:numPr>
          <w:ilvl w:val="0"/>
          <w:numId w:val="2"/>
        </w:numPr>
      </w:pPr>
      <w:r>
        <w:rPr>
          <w:rFonts w:ascii="Arial" w:cs="Arial" w:eastAsia="Arial" w:hAnsi="Arial"/>
          <w:color w:val="404040"/>
          <w:sz w:val="22"/>
          <w:szCs w:val="22"/>
        </w:rPr>
        <w:t xml:space="preserve">Processus de grievance formels</w:t>
      </w:r>
    </w:p>
    <w:p>
      <w:pPr>
        <w:pStyle w:val="ListParagraph"/>
        <w:numPr>
          <w:ilvl w:val="0"/>
          <w:numId w:val="2"/>
        </w:numPr>
      </w:pPr>
      <w:r>
        <w:rPr>
          <w:rFonts w:ascii="Arial" w:cs="Arial" w:eastAsia="Arial" w:hAnsi="Arial"/>
          <w:color w:val="404040"/>
          <w:sz w:val="22"/>
          <w:szCs w:val="22"/>
        </w:rPr>
        <w:t xml:space="preserve">Ombudsperson ou mediateur independant</w:t>
      </w:r>
    </w:p>
    <w:p>
      <w:pPr>
        <w:pStyle w:val="Heading1"/>
      </w:pPr>
      <w:r>
        <w:t xml:space="preserve">Pipeline de feedback</w:t>
      </w:r>
    </w:p>
    <w:p>
      <w:pPr>
        <w:pStyle w:val="ListParagraph"/>
        <w:numPr>
          <w:ilvl w:val="0"/>
          <w:numId w:val="3"/>
        </w:numPr>
      </w:pPr>
      <w:r>
        <w:rPr>
          <w:rFonts w:ascii="Arial" w:cs="Arial" w:eastAsia="Arial" w:hAnsi="Arial"/>
          <w:color w:val="404040"/>
          <w:sz w:val="22"/>
          <w:szCs w:val="22"/>
        </w:rPr>
        <w:t xml:space="preserve">Collection : Feedback est systematiquement collecte via les mecanismes designes</w:t>
      </w:r>
    </w:p>
    <w:p>
      <w:pPr>
        <w:pStyle w:val="ListParagraph"/>
        <w:numPr>
          <w:ilvl w:val="0"/>
          <w:numId w:val="3"/>
        </w:numPr>
      </w:pPr>
      <w:r>
        <w:rPr>
          <w:rFonts w:ascii="Arial" w:cs="Arial" w:eastAsia="Arial" w:hAnsi="Arial"/>
          <w:color w:val="404040"/>
          <w:sz w:val="22"/>
          <w:szCs w:val="22"/>
        </w:rPr>
        <w:t xml:space="preserve">Documentation : Tous les feedbacks sont enregistres</w:t>
      </w:r>
    </w:p>
    <w:p>
      <w:pPr>
        <w:pStyle w:val="ListParagraph"/>
        <w:numPr>
          <w:ilvl w:val="0"/>
          <w:numId w:val="3"/>
        </w:numPr>
      </w:pPr>
      <w:r>
        <w:rPr>
          <w:rFonts w:ascii="Arial" w:cs="Arial" w:eastAsia="Arial" w:hAnsi="Arial"/>
          <w:color w:val="404040"/>
          <w:sz w:val="22"/>
          <w:szCs w:val="22"/>
        </w:rPr>
        <w:t xml:space="preserve">Analyse : Groupage par theme et identification de patterns</w:t>
      </w:r>
    </w:p>
    <w:p>
      <w:pPr>
        <w:pStyle w:val="ListParagraph"/>
        <w:numPr>
          <w:ilvl w:val="0"/>
          <w:numId w:val="3"/>
        </w:numPr>
      </w:pPr>
      <w:r>
        <w:rPr>
          <w:rFonts w:ascii="Arial" w:cs="Arial" w:eastAsia="Arial" w:hAnsi="Arial"/>
          <w:color w:val="404040"/>
          <w:sz w:val="22"/>
          <w:szCs w:val="22"/>
        </w:rPr>
        <w:t xml:space="preserve">Évaluation : Assessment de la validite et de la faisabilite</w:t>
      </w:r>
    </w:p>
    <w:p>
      <w:pPr>
        <w:pStyle w:val="ListParagraph"/>
        <w:numPr>
          <w:ilvl w:val="0"/>
          <w:numId w:val="3"/>
        </w:numPr>
      </w:pPr>
      <w:r>
        <w:rPr>
          <w:rFonts w:ascii="Arial" w:cs="Arial" w:eastAsia="Arial" w:hAnsi="Arial"/>
          <w:color w:val="404040"/>
          <w:sz w:val="22"/>
          <w:szCs w:val="22"/>
        </w:rPr>
        <w:t xml:space="preserve">Decision : Determination de ce qui sera adresse</w:t>
      </w:r>
    </w:p>
    <w:p>
      <w:pPr>
        <w:pStyle w:val="ListParagraph"/>
        <w:numPr>
          <w:ilvl w:val="0"/>
          <w:numId w:val="3"/>
        </w:numPr>
      </w:pPr>
      <w:r>
        <w:rPr>
          <w:rFonts w:ascii="Arial" w:cs="Arial" w:eastAsia="Arial" w:hAnsi="Arial"/>
          <w:color w:val="404040"/>
          <w:sz w:val="22"/>
          <w:szCs w:val="22"/>
        </w:rPr>
        <w:t xml:space="preserve">Implementation : Actions prises basees sur les decisions</w:t>
      </w:r>
    </w:p>
    <w:p>
      <w:pPr>
        <w:pStyle w:val="ListParagraph"/>
        <w:numPr>
          <w:ilvl w:val="0"/>
          <w:numId w:val="3"/>
        </w:numPr>
      </w:pPr>
      <w:r>
        <w:rPr>
          <w:rFonts w:ascii="Arial" w:cs="Arial" w:eastAsia="Arial" w:hAnsi="Arial"/>
          <w:color w:val="404040"/>
          <w:sz w:val="22"/>
          <w:szCs w:val="22"/>
        </w:rPr>
        <w:t xml:space="preserve">Communication : Rapportage de retour aux parties prenantes</w:t>
      </w:r>
    </w:p>
    <w:p>
      <w:pPr>
        <w:pStyle w:val="ListParagraph"/>
        <w:numPr>
          <w:ilvl w:val="0"/>
          <w:numId w:val="3"/>
        </w:numPr>
      </w:pPr>
      <w:r>
        <w:rPr>
          <w:rFonts w:ascii="Arial" w:cs="Arial" w:eastAsia="Arial" w:hAnsi="Arial"/>
          <w:color w:val="404040"/>
          <w:sz w:val="22"/>
          <w:szCs w:val="22"/>
        </w:rPr>
        <w:t xml:space="preserve">Monitoring : Tracking de l'implementation</w:t>
      </w:r>
    </w:p>
    <w:p>
      <w:pPr>
        <w:pStyle w:val="Heading1"/>
      </w:pPr>
      <w:r>
        <w:t xml:space="preserve">Mecanismes specifiques pour les groupes marginalises</w:t>
      </w:r>
    </w:p>
    <w:p>
      <w:pPr>
        <w:pStyle w:val="Heading2"/>
      </w:pPr>
      <w:r>
        <w:t xml:space="preserve">Accessibilite et inclusion</w:t>
      </w:r>
    </w:p>
    <w:p>
      <w:r>
        <w:rPr>
          <w:rFonts w:ascii="Arial" w:cs="Arial" w:eastAsia="Arial" w:hAnsi="Arial"/>
          <w:color w:val="404040"/>
          <w:sz w:val="22"/>
          <w:szCs w:val="22"/>
        </w:rPr>
        <w:t xml:space="preserve">Mecanismes adaptes pour assurer l'inclusion :</w:t>
      </w:r>
    </w:p>
    <w:p>
      <w:pPr>
        <w:pStyle w:val="ListParagraph"/>
        <w:numPr>
          <w:ilvl w:val="0"/>
          <w:numId w:val="2"/>
        </w:numPr>
      </w:pPr>
      <w:r>
        <w:rPr>
          <w:rFonts w:ascii="Arial" w:cs="Arial" w:eastAsia="Arial" w:hAnsi="Arial"/>
          <w:color w:val="404040"/>
          <w:sz w:val="22"/>
          <w:szCs w:val="22"/>
        </w:rPr>
        <w:t xml:space="preserve">Traduction et services d'interpretation dans les langues pertinentes</w:t>
      </w:r>
    </w:p>
    <w:p>
      <w:pPr>
        <w:pStyle w:val="ListParagraph"/>
        <w:numPr>
          <w:ilvl w:val="0"/>
          <w:numId w:val="2"/>
        </w:numPr>
      </w:pPr>
      <w:r>
        <w:rPr>
          <w:rFonts w:ascii="Arial" w:cs="Arial" w:eastAsia="Arial" w:hAnsi="Arial"/>
          <w:color w:val="404040"/>
          <w:sz w:val="22"/>
          <w:szCs w:val="22"/>
        </w:rPr>
        <w:t xml:space="preserve">Formats accessibles (braille, audio, large print)</w:t>
      </w:r>
    </w:p>
    <w:p>
      <w:pPr>
        <w:pStyle w:val="ListParagraph"/>
        <w:numPr>
          <w:ilvl w:val="0"/>
          <w:numId w:val="2"/>
        </w:numPr>
      </w:pPr>
      <w:r>
        <w:rPr>
          <w:rFonts w:ascii="Arial" w:cs="Arial" w:eastAsia="Arial" w:hAnsi="Arial"/>
          <w:color w:val="404040"/>
          <w:sz w:val="22"/>
          <w:szCs w:val="22"/>
        </w:rPr>
        <w:t xml:space="preserve">Localisation geographique des engagements</w:t>
      </w:r>
    </w:p>
    <w:p>
      <w:pPr>
        <w:pStyle w:val="ListParagraph"/>
        <w:numPr>
          <w:ilvl w:val="0"/>
          <w:numId w:val="2"/>
        </w:numPr>
      </w:pPr>
      <w:r>
        <w:rPr>
          <w:rFonts w:ascii="Arial" w:cs="Arial" w:eastAsia="Arial" w:hAnsi="Arial"/>
          <w:color w:val="404040"/>
          <w:sz w:val="22"/>
          <w:szCs w:val="22"/>
        </w:rPr>
        <w:t xml:space="preserve">Timing et format adaptes pour les employés avec constraints</w:t>
      </w:r>
    </w:p>
    <w:p>
      <w:pPr>
        <w:pStyle w:val="ListParagraph"/>
        <w:numPr>
          <w:ilvl w:val="0"/>
          <w:numId w:val="2"/>
        </w:numPr>
      </w:pPr>
      <w:r>
        <w:rPr>
          <w:rFonts w:ascii="Arial" w:cs="Arial" w:eastAsia="Arial" w:hAnsi="Arial"/>
          <w:color w:val="404040"/>
          <w:sz w:val="22"/>
          <w:szCs w:val="22"/>
        </w:rPr>
        <w:t xml:space="preserve">Representation active recherchee de groupes historiquement marginalises</w:t>
      </w:r>
    </w:p>
    <w:p>
      <w:pPr>
        <w:pStyle w:val="Heading2"/>
      </w:pPr>
      <w:r>
        <w:t xml:space="preserve">Engagement proactif</w:t>
      </w:r>
    </w:p>
    <w:p>
      <w:r>
        <w:rPr>
          <w:rFonts w:ascii="Arial" w:cs="Arial" w:eastAsia="Arial" w:hAnsi="Arial"/>
          <w:color w:val="404040"/>
          <w:sz w:val="22"/>
          <w:szCs w:val="22"/>
        </w:rPr>
        <w:t xml:space="preserve">Plutot que d'attendre la participation, nous allons vers les groupes affectes :</w:t>
      </w:r>
    </w:p>
    <w:p>
      <w:pPr>
        <w:pStyle w:val="ListParagraph"/>
        <w:numPr>
          <w:ilvl w:val="0"/>
          <w:numId w:val="2"/>
        </w:numPr>
      </w:pPr>
      <w:r>
        <w:rPr>
          <w:rFonts w:ascii="Arial" w:cs="Arial" w:eastAsia="Arial" w:hAnsi="Arial"/>
          <w:color w:val="404040"/>
          <w:sz w:val="22"/>
          <w:szCs w:val="22"/>
        </w:rPr>
        <w:t xml:space="preserve">Identification des groupes potentiellement impactes</w:t>
      </w:r>
    </w:p>
    <w:p>
      <w:pPr>
        <w:pStyle w:val="ListParagraph"/>
        <w:numPr>
          <w:ilvl w:val="0"/>
          <w:numId w:val="2"/>
        </w:numPr>
      </w:pPr>
      <w:r>
        <w:rPr>
          <w:rFonts w:ascii="Arial" w:cs="Arial" w:eastAsia="Arial" w:hAnsi="Arial"/>
          <w:color w:val="404040"/>
          <w:sz w:val="22"/>
          <w:szCs w:val="22"/>
        </w:rPr>
        <w:t xml:space="preserve">Recherche proactive des impacts potentiels</w:t>
      </w:r>
    </w:p>
    <w:p>
      <w:pPr>
        <w:pStyle w:val="ListParagraph"/>
        <w:numPr>
          <w:ilvl w:val="0"/>
          <w:numId w:val="2"/>
        </w:numPr>
      </w:pPr>
      <w:r>
        <w:rPr>
          <w:rFonts w:ascii="Arial" w:cs="Arial" w:eastAsia="Arial" w:hAnsi="Arial"/>
          <w:color w:val="404040"/>
          <w:sz w:val="22"/>
          <w:szCs w:val="22"/>
        </w:rPr>
        <w:t xml:space="preserve">Invitations directes et support pour la participation</w:t>
      </w:r>
    </w:p>
    <w:p>
      <w:pPr>
        <w:pStyle w:val="ListParagraph"/>
        <w:numPr>
          <w:ilvl w:val="0"/>
          <w:numId w:val="2"/>
        </w:numPr>
      </w:pPr>
      <w:r>
        <w:rPr>
          <w:rFonts w:ascii="Arial" w:cs="Arial" w:eastAsia="Arial" w:hAnsi="Arial"/>
          <w:color w:val="404040"/>
          <w:sz w:val="22"/>
          <w:szCs w:val="22"/>
        </w:rPr>
        <w:t xml:space="preserve">Traduction et adaptation du contenu</w:t>
      </w:r>
    </w:p>
    <w:p>
      <w:pPr>
        <w:pStyle w:val="ListParagraph"/>
        <w:numPr>
          <w:ilvl w:val="0"/>
          <w:numId w:val="2"/>
        </w:numPr>
      </w:pPr>
      <w:r>
        <w:rPr>
          <w:rFonts w:ascii="Arial" w:cs="Arial" w:eastAsia="Arial" w:hAnsi="Arial"/>
          <w:color w:val="404040"/>
          <w:sz w:val="22"/>
          <w:szCs w:val="22"/>
        </w:rPr>
        <w:t xml:space="preserve">Consultation avec les organisations representant ces groupes</w:t>
      </w:r>
    </w:p>
    <w:p>
      <w:pPr>
        <w:pStyle w:val="Heading1"/>
      </w:pPr>
      <w:r>
        <w:t xml:space="preserve">Gestion des desaccords</w:t>
      </w:r>
    </w:p>
    <w:p>
      <w:r>
        <w:rPr>
          <w:rFonts w:ascii="Arial" w:cs="Arial" w:eastAsia="Arial" w:hAnsi="Arial"/>
          <w:color w:val="404040"/>
          <w:sz w:val="22"/>
          <w:szCs w:val="22"/>
        </w:rPr>
        <w:t xml:space="preserve">Quand le feedback suggere un changement que nous ne pouvons pas implementer :</w:t>
      </w:r>
    </w:p>
    <w:p>
      <w:pPr>
        <w:pStyle w:val="ListParagraph"/>
        <w:numPr>
          <w:ilvl w:val="0"/>
          <w:numId w:val="3"/>
        </w:numPr>
      </w:pPr>
      <w:r>
        <w:rPr>
          <w:rFonts w:ascii="Arial" w:cs="Arial" w:eastAsia="Arial" w:hAnsi="Arial"/>
          <w:color w:val="404040"/>
          <w:sz w:val="22"/>
          <w:szCs w:val="22"/>
        </w:rPr>
        <w:t xml:space="preserve">Nous ecoutons complètement et respectueusement</w:t>
      </w:r>
    </w:p>
    <w:p>
      <w:pPr>
        <w:pStyle w:val="ListParagraph"/>
        <w:numPr>
          <w:ilvl w:val="0"/>
          <w:numId w:val="3"/>
        </w:numPr>
      </w:pPr>
      <w:r>
        <w:rPr>
          <w:rFonts w:ascii="Arial" w:cs="Arial" w:eastAsia="Arial" w:hAnsi="Arial"/>
          <w:color w:val="404040"/>
          <w:sz w:val="22"/>
          <w:szCs w:val="22"/>
        </w:rPr>
        <w:t xml:space="preserve">Nous expliquons honnement les raisons</w:t>
      </w:r>
    </w:p>
    <w:p>
      <w:pPr>
        <w:pStyle w:val="ListParagraph"/>
        <w:numPr>
          <w:ilvl w:val="0"/>
          <w:numId w:val="3"/>
        </w:numPr>
      </w:pPr>
      <w:r>
        <w:rPr>
          <w:rFonts w:ascii="Arial" w:cs="Arial" w:eastAsia="Arial" w:hAnsi="Arial"/>
          <w:color w:val="404040"/>
          <w:sz w:val="22"/>
          <w:szCs w:val="22"/>
        </w:rPr>
        <w:t xml:space="preserve">Nous explorons les alternatives ou compromis</w:t>
      </w:r>
    </w:p>
    <w:p>
      <w:pPr>
        <w:pStyle w:val="ListParagraph"/>
        <w:numPr>
          <w:ilvl w:val="0"/>
          <w:numId w:val="3"/>
        </w:numPr>
      </w:pPr>
      <w:r>
        <w:rPr>
          <w:rFonts w:ascii="Arial" w:cs="Arial" w:eastAsia="Arial" w:hAnsi="Arial"/>
          <w:color w:val="404040"/>
          <w:sz w:val="22"/>
          <w:szCs w:val="22"/>
        </w:rPr>
        <w:t xml:space="preserve">Nous documentons le desaccord de manière transparente</w:t>
      </w:r>
    </w:p>
    <w:p>
      <w:pPr>
        <w:pStyle w:val="ListParagraph"/>
        <w:numPr>
          <w:ilvl w:val="0"/>
          <w:numId w:val="3"/>
        </w:numPr>
      </w:pPr>
      <w:r>
        <w:rPr>
          <w:rFonts w:ascii="Arial" w:cs="Arial" w:eastAsia="Arial" w:hAnsi="Arial"/>
          <w:color w:val="404040"/>
          <w:sz w:val="22"/>
          <w:szCs w:val="22"/>
        </w:rPr>
        <w:t xml:space="preserve">Nous maintenons le respect et la relation</w:t>
      </w:r>
    </w:p>
    <w:p>
      <w:pPr>
        <w:pStyle w:val="Heading1"/>
      </w:pPr>
      <w:r>
        <w:t xml:space="preserve">Ressources et accountabilite</w:t>
      </w:r>
    </w:p>
    <w:p>
      <w:pPr>
        <w:pStyle w:val="Heading2"/>
      </w:pPr>
      <w:r>
        <w:t xml:space="preserve">Allouer les ressources</w:t>
      </w:r>
    </w:p>
    <w:p>
      <w:r>
        <w:rPr>
          <w:rFonts w:ascii="Arial" w:cs="Arial" w:eastAsia="Arial" w:hAnsi="Arial"/>
          <w:color w:val="404040"/>
          <w:sz w:val="22"/>
          <w:szCs w:val="22"/>
        </w:rPr>
        <w:t xml:space="preserve">L'engagement de parties prenantes requiert des ressources dedicees :</w:t>
      </w:r>
    </w:p>
    <w:p>
      <w:pPr>
        <w:pStyle w:val="ListParagraph"/>
        <w:numPr>
          <w:ilvl w:val="0"/>
          <w:numId w:val="2"/>
        </w:numPr>
      </w:pPr>
      <w:r>
        <w:rPr>
          <w:rFonts w:ascii="Arial" w:cs="Arial" w:eastAsia="Arial" w:hAnsi="Arial"/>
          <w:color w:val="404040"/>
          <w:sz w:val="22"/>
          <w:szCs w:val="22"/>
        </w:rPr>
        <w:t xml:space="preserve">Personnel : Stakeholder engagement manager et community liaisons</w:t>
      </w:r>
    </w:p>
    <w:p>
      <w:pPr>
        <w:pStyle w:val="ListParagraph"/>
        <w:numPr>
          <w:ilvl w:val="0"/>
          <w:numId w:val="2"/>
        </w:numPr>
      </w:pPr>
      <w:r>
        <w:rPr>
          <w:rFonts w:ascii="Arial" w:cs="Arial" w:eastAsia="Arial" w:hAnsi="Arial"/>
          <w:color w:val="404040"/>
          <w:sz w:val="22"/>
          <w:szCs w:val="22"/>
        </w:rPr>
        <w:t xml:space="preserve">Budget : Facilitation, travel, traduction, accessibility services</w:t>
      </w:r>
    </w:p>
    <w:p>
      <w:pPr>
        <w:pStyle w:val="ListParagraph"/>
        <w:numPr>
          <w:ilvl w:val="0"/>
          <w:numId w:val="2"/>
        </w:numPr>
      </w:pPr>
      <w:r>
        <w:rPr>
          <w:rFonts w:ascii="Arial" w:cs="Arial" w:eastAsia="Arial" w:hAnsi="Arial"/>
          <w:color w:val="404040"/>
          <w:sz w:val="22"/>
          <w:szCs w:val="22"/>
        </w:rPr>
        <w:t xml:space="preserve">Temps de la direction : Participation personnelle aux dialogues importants</w:t>
      </w:r>
    </w:p>
    <w:p>
      <w:pPr>
        <w:pStyle w:val="Heading2"/>
      </w:pPr>
      <w:r>
        <w:t xml:space="preserve">Métriques d'engagement</w:t>
      </w:r>
    </w:p>
    <w:p>
      <w:r>
        <w:rPr>
          <w:rFonts w:ascii="Arial" w:cs="Arial" w:eastAsia="Arial" w:hAnsi="Arial"/>
          <w:color w:val="404040"/>
          <w:sz w:val="22"/>
          <w:szCs w:val="22"/>
        </w:rPr>
        <w:t xml:space="preserve">Indicateurs clés de performance :</w:t>
      </w:r>
    </w:p>
    <w:p>
      <w:pPr>
        <w:pStyle w:val="ListParagraph"/>
        <w:numPr>
          <w:ilvl w:val="0"/>
          <w:numId w:val="2"/>
        </w:numPr>
      </w:pPr>
      <w:r>
        <w:rPr>
          <w:rFonts w:ascii="Arial" w:cs="Arial" w:eastAsia="Arial" w:hAnsi="Arial"/>
          <w:color w:val="404040"/>
          <w:sz w:val="22"/>
          <w:szCs w:val="22"/>
        </w:rPr>
        <w:t xml:space="preserve">% parties prenantes clés engagees : Cible 80%+</w:t>
      </w:r>
    </w:p>
    <w:p>
      <w:pPr>
        <w:pStyle w:val="ListParagraph"/>
        <w:numPr>
          <w:ilvl w:val="0"/>
          <w:numId w:val="2"/>
        </w:numPr>
      </w:pPr>
      <w:r>
        <w:rPr>
          <w:rFonts w:ascii="Arial" w:cs="Arial" w:eastAsia="Arial" w:hAnsi="Arial"/>
          <w:color w:val="404040"/>
          <w:sz w:val="22"/>
          <w:szCs w:val="22"/>
        </w:rPr>
        <w:t xml:space="preserve">Niveau de satisfaction avec les mecanismes : Cible 3.5+/5</w:t>
      </w:r>
    </w:p>
    <w:p>
      <w:pPr>
        <w:pStyle w:val="ListParagraph"/>
        <w:numPr>
          <w:ilvl w:val="0"/>
          <w:numId w:val="2"/>
        </w:numPr>
      </w:pPr>
      <w:r>
        <w:rPr>
          <w:rFonts w:ascii="Arial" w:cs="Arial" w:eastAsia="Arial" w:hAnsi="Arial"/>
          <w:color w:val="404040"/>
          <w:sz w:val="22"/>
          <w:szCs w:val="22"/>
        </w:rPr>
        <w:t xml:space="preserve">Temps moyen de réponse au feedback : Cible &lt;5 jours ouvrables</w:t>
      </w:r>
    </w:p>
    <w:p>
      <w:pPr>
        <w:pStyle w:val="ListParagraph"/>
        <w:numPr>
          <w:ilvl w:val="0"/>
          <w:numId w:val="2"/>
        </w:numPr>
      </w:pPr>
      <w:r>
        <w:rPr>
          <w:rFonts w:ascii="Arial" w:cs="Arial" w:eastAsia="Arial" w:hAnsi="Arial"/>
          <w:color w:val="404040"/>
          <w:sz w:val="22"/>
          <w:szCs w:val="22"/>
        </w:rPr>
        <w:t xml:space="preserve">% de feedback adresse ou integre : Cible 70%+</w:t>
      </w:r>
    </w:p>
    <w:p>
      <w:pPr>
        <w:pStyle w:val="ListParagraph"/>
        <w:numPr>
          <w:ilvl w:val="0"/>
          <w:numId w:val="2"/>
        </w:numPr>
      </w:pPr>
      <w:r>
        <w:rPr>
          <w:rFonts w:ascii="Arial" w:cs="Arial" w:eastAsia="Arial" w:hAnsi="Arial"/>
          <w:color w:val="404040"/>
          <w:sz w:val="22"/>
          <w:szCs w:val="22"/>
        </w:rPr>
        <w:t xml:space="preserve">Diversité des participants : Representation de groupes marginalises</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Stakeholder Engagement Manager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tout l'engagement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Fournit les informations techniques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le respect de la Loi 25</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Mise en place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Établir les mecanismes et former le personnel</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[MOIS_1_3]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Lancement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Commencer les consultations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[MOIS_3_4]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Opérationnel</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Mecanismes d'engagement opérationnels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Stakeholder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Tout groupe ou individu affecte par les decisions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Engagement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Processus delibere d'interaction et de dialogue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Materiality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Pertinence et importance d'une question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Accountability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Responsabilite de rendre compte de ses actions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Inclusivite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Assurance que tous les groupes ont une voix</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d'engagement des parties prenantes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2026-03-05T02:15:17.381Z</dcterms:created>
  <dcterms:modified xsi:type="dcterms:W3CDTF">2026-03-05T02:15:17.381Z</dcterms:modified>
</cp:coreProperties>
</file>

<file path=docProps/custom.xml><?xml version="1.0" encoding="utf-8"?>
<Properties xmlns="http://schemas.openxmlformats.org/officeDocument/2006/custom-properties" xmlns:vt="http://schemas.openxmlformats.org/officeDocument/2006/docPropsVTypes"/>
</file>