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Title"/>
        <w:bidi w:val="0"/>
      </w:pPr>
      <w:r>
        <w:rPr>
          <w:rtl w:val="0"/>
        </w:rPr>
        <w:t>Significant trends in the district-wide school data</w:t>
      </w:r>
    </w:p>
    <w:p>
      <w:pPr>
        <w:pStyle w:val="Body 2"/>
        <w:bidi w:val="0"/>
      </w:pPr>
    </w:p>
    <w:p>
      <w:pPr>
        <w:pStyle w:val="Attribution"/>
        <w:bidi w:val="0"/>
      </w:pPr>
      <w:r>
        <w:rPr>
          <w:i w:val="1"/>
          <w:iCs w:val="1"/>
          <w:rtl w:val="0"/>
          <w:lang w:val="en-US"/>
        </w:rPr>
        <w:t>Farjana Rowther</w:t>
      </w:r>
      <w:r>
        <w:rPr>
          <w:rtl w:val="0"/>
        </w:rPr>
        <w:t xml:space="preserve">, </w:t>
      </w:r>
    </w:p>
    <w:p>
      <w:pPr>
        <w:pStyle w:val="Attribution"/>
        <w:bidi w:val="0"/>
      </w:pPr>
      <w:r>
        <w:rPr>
          <w:rtl w:val="0"/>
        </w:rPr>
        <w:t xml:space="preserve">Chief Data 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76172</wp:posOffset>
                </wp:positionH>
                <wp:positionV relativeFrom="line">
                  <wp:posOffset>574039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 descr="Im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8023" t="0" r="8023" b="0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" descr="Image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5753129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.0pt;margin-top:45.2pt;width:453.0pt;height:306.2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53128,3888205">
                <w10:wrap type="topAndBottom" side="bothSides" anchorx="margin"/>
                <v:shape id="_x0000_s1027" type="#_x0000_t75" style="position:absolute;left:50800;top:50800;width:5651528;height:3786605;">
                  <v:imagedata r:id="rId4" o:title="education.png" cropleft="8.0%" cropright="8.0%"/>
                </v:shape>
                <v:shape id="_x0000_s1028" type="#_x0000_t75" style="position:absolute;left:0;top:0;width:5753128;height:3888205;">
                  <v:imagedata r:id="rId5" o:title=""/>
                </v:shape>
              </v:group>
            </w:pict>
          </mc:Fallback>
        </mc:AlternateContent>
      </w:r>
      <w:r>
        <w:rPr>
          <w:rtl w:val="0"/>
        </w:rPr>
        <w:t>Scientist for City</w:t>
      </w:r>
      <w:r>
        <w:rPr>
          <w:rtl w:val="0"/>
        </w:rPr>
        <w:t>’</w:t>
      </w:r>
      <w:r>
        <w:rPr>
          <w:rtl w:val="0"/>
        </w:rPr>
        <w:t>s School District</w:t>
      </w:r>
    </w:p>
    <w:p>
      <w:pPr>
        <w:pStyle w:val="Attribution"/>
        <w:bidi w:val="0"/>
      </w:pPr>
      <w:r>
        <w:rPr>
          <w:rtl w:val="0"/>
        </w:rPr>
        <w:t>Autumn 2022</w:t>
      </w:r>
    </w:p>
    <w:p>
      <w:pPr>
        <w:pStyle w:val="Attribution"/>
        <w:bidi w:val="0"/>
      </w:pPr>
    </w:p>
    <w:p>
      <w:pPr>
        <w:pStyle w:val="Attribution"/>
        <w:bidi w:val="0"/>
      </w:pPr>
    </w:p>
    <w:p>
      <w:pPr>
        <w:pStyle w:val="Attribution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bidi w:val="0"/>
      </w:pPr>
      <w:r>
        <w:rPr>
          <w:rtl w:val="0"/>
        </w:rPr>
        <w:t>Significant trends in the District-wide School data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City</w:t>
      </w:r>
      <w:r>
        <w:rPr>
          <w:rFonts w:cs="Arial Unicode MS" w:eastAsia="Arial Unicode MS" w:hint="default"/>
          <w:rtl w:val="0"/>
          <w:lang w:val="en-US"/>
        </w:rPr>
        <w:t>’</w:t>
      </w:r>
      <w:r>
        <w:rPr>
          <w:rFonts w:cs="Arial Unicode MS" w:eastAsia="Arial Unicode MS"/>
          <w:rtl w:val="0"/>
          <w:lang w:val="en-US"/>
        </w:rPr>
        <w:t xml:space="preserve">s school district performance data was provided for our analysis to identify any trends that might assist </w:t>
      </w:r>
      <w:r>
        <w:rPr>
          <w:rFonts w:cs="Arial Unicode MS" w:eastAsia="Arial Unicode MS"/>
          <w:rtl w:val="0"/>
          <w:lang w:val="en-US"/>
        </w:rPr>
        <w:t>the school board and mayor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to </w:t>
      </w:r>
      <w:r>
        <w:rPr>
          <w:rFonts w:cs="Arial Unicode MS" w:eastAsia="Arial Unicode MS"/>
          <w:rtl w:val="0"/>
          <w:lang w:val="en-US"/>
        </w:rPr>
        <w:t>make strategic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decisions regarding future school budgets and priorities.</w:t>
      </w:r>
      <w:r>
        <w:rPr>
          <w:rFonts w:cs="Arial Unicode MS" w:eastAsia="Arial Unicode MS"/>
          <w:rtl w:val="0"/>
          <w:lang w:val="en-US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In this capacity, </w:t>
      </w:r>
      <w:r>
        <w:rPr>
          <w:rFonts w:cs="Arial Unicode MS" w:eastAsia="Arial Unicode MS"/>
          <w:rtl w:val="0"/>
          <w:lang w:val="en-US"/>
        </w:rPr>
        <w:t xml:space="preserve">I have analysed the </w:t>
      </w:r>
      <w:r>
        <w:rPr>
          <w:rFonts w:cs="Arial Unicode MS" w:eastAsia="Arial Unicode MS"/>
          <w:rtl w:val="0"/>
          <w:lang w:val="en-US"/>
        </w:rPr>
        <w:t xml:space="preserve">district-wide </w:t>
      </w:r>
      <w:r>
        <w:rPr>
          <w:rFonts w:cs="Arial Unicode MS" w:eastAsia="Arial Unicode MS"/>
          <w:rtl w:val="0"/>
          <w:lang w:val="en-US"/>
        </w:rPr>
        <w:t>standardised</w:t>
      </w:r>
      <w:r>
        <w:rPr>
          <w:rFonts w:cs="Arial Unicode MS" w:eastAsia="Arial Unicode MS"/>
          <w:rtl w:val="0"/>
          <w:lang w:val="en-US"/>
        </w:rPr>
        <w:t xml:space="preserve"> test results</w:t>
      </w:r>
      <w:r>
        <w:rPr>
          <w:rFonts w:cs="Arial Unicode MS" w:eastAsia="Arial Unicode MS"/>
          <w:rtl w:val="0"/>
          <w:lang w:val="en-US"/>
        </w:rPr>
        <w:t xml:space="preserve"> at out Data Analytics department, to determine the performance of schools based on </w:t>
      </w:r>
      <w:r>
        <w:rPr>
          <w:rFonts w:cs="Arial Unicode MS" w:eastAsia="Arial Unicode MS"/>
          <w:rtl w:val="0"/>
          <w:lang w:val="en-US"/>
        </w:rPr>
        <w:t xml:space="preserve">student's math and reading scores, as well as </w:t>
      </w:r>
      <w:r>
        <w:rPr>
          <w:rFonts w:cs="Arial Unicode MS" w:eastAsia="Arial Unicode MS"/>
          <w:rtl w:val="0"/>
          <w:lang w:val="en-US"/>
        </w:rPr>
        <w:t xml:space="preserve">other relevant </w:t>
      </w:r>
      <w:r>
        <w:rPr>
          <w:rFonts w:cs="Arial Unicode MS" w:eastAsia="Arial Unicode MS"/>
          <w:rtl w:val="0"/>
          <w:lang w:val="en-US"/>
        </w:rPr>
        <w:t xml:space="preserve">information on the schools </w:t>
      </w:r>
      <w:r>
        <w:rPr>
          <w:rFonts w:cs="Arial Unicode MS" w:eastAsia="Arial Unicode MS"/>
          <w:rtl w:val="0"/>
          <w:lang w:val="en-US"/>
        </w:rPr>
        <w:t>such as school type, school size, and schools</w:t>
      </w:r>
      <w:r>
        <w:rPr>
          <w:rFonts w:cs="Arial Unicode MS" w:eastAsia="Arial Unicode MS" w:hint="default"/>
          <w:rtl w:val="0"/>
          <w:lang w:val="en-US"/>
        </w:rPr>
        <w:t xml:space="preserve">’ </w:t>
      </w:r>
      <w:r>
        <w:rPr>
          <w:rFonts w:cs="Arial Unicode MS" w:eastAsia="Arial Unicode MS"/>
          <w:rtl w:val="0"/>
          <w:lang w:val="en-US"/>
        </w:rPr>
        <w:t xml:space="preserve">annual budget.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Table 1: District Summary</w:t>
      </w:r>
    </w:p>
    <w:tbl>
      <w:tblPr>
        <w:tblW w:w="9020" w:type="dxa"/>
        <w:jc w:val="right"/>
        <w:tblInd w:w="108" w:type="dxa"/>
        <w:tblBorders>
          <w:top w:val="single" w:color="8ea47c" w:sz="2" w:space="0" w:shadow="0" w:frame="0"/>
          <w:left w:val="single" w:color="8ea47c" w:sz="2" w:space="0" w:shadow="0" w:frame="0"/>
          <w:bottom w:val="single" w:color="8ea47c" w:sz="2" w:space="0" w:shadow="0" w:frame="0"/>
          <w:right w:val="single" w:color="8ea47c" w:sz="2" w:space="0" w:shadow="0" w:frame="0"/>
          <w:insideH w:val="single" w:color="8ea47c" w:sz="2" w:space="0" w:shadow="0" w:frame="0"/>
          <w:insideV w:val="single" w:color="8ea47c" w:sz="2" w:space="0" w:shadow="0" w:frame="0"/>
        </w:tblBorders>
        <w:shd w:val="clear" w:color="auto" w:fill="f4f8ee"/>
        <w:tblLayout w:type="fixed"/>
      </w:tblPr>
      <w:tblGrid>
        <w:gridCol w:w="960"/>
        <w:gridCol w:w="995"/>
        <w:gridCol w:w="1051"/>
        <w:gridCol w:w="1006"/>
        <w:gridCol w:w="1195"/>
        <w:gridCol w:w="1315"/>
        <w:gridCol w:w="1212"/>
        <w:gridCol w:w="1286"/>
      </w:tblGrid>
      <w:tr>
        <w:tblPrEx>
          <w:shd w:val="clear" w:color="auto" w:fill="f4f8ee"/>
        </w:tblPrEx>
        <w:trPr>
          <w:trHeight w:val="893" w:hRule="atLeast"/>
        </w:trPr>
        <w:tc>
          <w:tcPr>
            <w:tcW w:type="dxa" w:w="960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Total Schools</w:t>
            </w:r>
          </w:p>
        </w:tc>
        <w:tc>
          <w:tcPr>
            <w:tcW w:type="dxa" w:w="995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Total Students</w:t>
            </w:r>
          </w:p>
        </w:tc>
        <w:tc>
          <w:tcPr>
            <w:tcW w:type="dxa" w:w="1050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Total Budget</w:t>
            </w:r>
          </w:p>
        </w:tc>
        <w:tc>
          <w:tcPr>
            <w:tcW w:type="dxa" w:w="1006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Ava Math Score</w:t>
            </w:r>
          </w:p>
        </w:tc>
        <w:tc>
          <w:tcPr>
            <w:tcW w:type="dxa" w:w="1195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Avr</w:t>
            </w:r>
          </w:p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Reading Score</w:t>
            </w:r>
          </w:p>
        </w:tc>
        <w:tc>
          <w:tcPr>
            <w:tcW w:type="dxa" w:w="1315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% Passing maths</w:t>
            </w:r>
          </w:p>
        </w:tc>
        <w:tc>
          <w:tcPr>
            <w:tcW w:type="dxa" w:w="1212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% Passing reading</w:t>
            </w:r>
          </w:p>
        </w:tc>
        <w:tc>
          <w:tcPr>
            <w:tcW w:type="dxa" w:w="1285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% Overall passing</w:t>
            </w:r>
          </w:p>
        </w:tc>
      </w:tr>
      <w:tr>
        <w:tblPrEx>
          <w:shd w:val="clear" w:color="auto" w:fill="f4f8ee"/>
        </w:tblPrEx>
        <w:trPr>
          <w:trHeight w:val="293" w:hRule="atLeast"/>
        </w:trPr>
        <w:tc>
          <w:tcPr>
            <w:tcW w:type="dxa" w:w="960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15</w:t>
            </w:r>
          </w:p>
        </w:tc>
        <w:tc>
          <w:tcPr>
            <w:tcW w:type="dxa" w:w="995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39170</w:t>
            </w:r>
          </w:p>
        </w:tc>
        <w:tc>
          <w:tcPr>
            <w:tcW w:type="dxa" w:w="1050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24649428</w:t>
            </w:r>
          </w:p>
        </w:tc>
        <w:tc>
          <w:tcPr>
            <w:tcW w:type="dxa" w:w="1006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78.985371</w:t>
            </w:r>
          </w:p>
        </w:tc>
        <w:tc>
          <w:tcPr>
            <w:tcW w:type="dxa" w:w="1195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81.87784</w:t>
            </w:r>
          </w:p>
        </w:tc>
        <w:tc>
          <w:tcPr>
            <w:tcW w:type="dxa" w:w="1315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74.980853</w:t>
            </w:r>
          </w:p>
        </w:tc>
        <w:tc>
          <w:tcPr>
            <w:tcW w:type="dxa" w:w="1212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85.805463</w:t>
            </w:r>
          </w:p>
        </w:tc>
        <w:tc>
          <w:tcPr>
            <w:tcW w:type="dxa" w:w="1285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65.172326</w:t>
            </w:r>
          </w:p>
        </w:tc>
      </w:tr>
    </w:tbl>
    <w:p>
      <w:pPr>
        <w:pStyle w:val="Default"/>
        <w:bidi w:val="0"/>
        <w:spacing w:after="0" w:line="240" w:lineRule="auto"/>
        <w:ind w:left="0" w:right="0" w:firstLine="0"/>
        <w:jc w:val="right"/>
        <w:rPr>
          <w:rFonts w:ascii="Helvetica Neue" w:cs="Helvetica Neue" w:hAnsi="Helvetica Neue" w:eastAsia="Helvetica Neue"/>
          <w:shd w:val="clear" w:color="auto" w:fill="ffffff"/>
          <w:rtl w:val="0"/>
        </w:rPr>
      </w:pPr>
    </w:p>
    <w:p>
      <w:pPr>
        <w:pStyle w:val="Default"/>
        <w:bidi w:val="0"/>
        <w:spacing w:after="0" w:line="240" w:lineRule="auto"/>
        <w:ind w:left="0" w:right="0" w:firstLine="0"/>
        <w:jc w:val="right"/>
        <w:rPr>
          <w:rFonts w:ascii="Helvetica Neue" w:cs="Helvetica Neue" w:hAnsi="Helvetica Neue" w:eastAsia="Helvetica Neue"/>
          <w:shd w:val="clear" w:color="auto" w:fill="ffffff"/>
          <w:rtl w:val="0"/>
        </w:rPr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Even though, the overall district summary of school performance does not seem to be a problem; however, on closer inspection of the data and further analyses revealed a striking and significant insights. 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Charter</w:t>
      </w:r>
      <w:r>
        <w:rPr>
          <w:rFonts w:cs="Arial Unicode MS" w:eastAsia="Arial Unicode MS"/>
          <w:rtl w:val="0"/>
          <w:lang w:val="en-US"/>
        </w:rPr>
        <w:t xml:space="preserve"> schools were at the top of the performance table (table 2) based on students</w:t>
      </w:r>
      <w:r>
        <w:rPr>
          <w:rFonts w:cs="Arial Unicode MS" w:eastAsia="Arial Unicode MS" w:hint="default"/>
          <w:rtl w:val="0"/>
          <w:lang w:val="en-US"/>
        </w:rPr>
        <w:t xml:space="preserve">’ </w:t>
      </w:r>
      <w:r>
        <w:rPr>
          <w:rFonts w:cs="Arial Unicode MS" w:eastAsia="Arial Unicode MS"/>
          <w:rtl w:val="0"/>
          <w:lang w:val="en-US"/>
        </w:rPr>
        <w:t xml:space="preserve">performance </w:t>
      </w:r>
      <w:r>
        <w:rPr>
          <w:rFonts w:cs="Arial Unicode MS" w:eastAsia="Arial Unicode MS"/>
          <w:rtl w:val="0"/>
          <w:lang w:val="en-US"/>
        </w:rPr>
        <w:t>in maths and reading combined (&gt;89% pass rate). This trend was independent of the budget allocated to spend per student. This trend coincided with the size of the school (within this type- Charter) being either small or medium sized.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On the other hand, district schools were at the bottom of the performance table (table 2) based on students</w:t>
      </w:r>
      <w:r>
        <w:rPr>
          <w:rFonts w:cs="Arial Unicode MS" w:eastAsia="Arial Unicode MS" w:hint="default"/>
          <w:rtl w:val="0"/>
          <w:lang w:val="en-US"/>
        </w:rPr>
        <w:t xml:space="preserve">’ </w:t>
      </w:r>
      <w:r>
        <w:rPr>
          <w:rFonts w:cs="Arial Unicode MS" w:eastAsia="Arial Unicode MS"/>
          <w:rtl w:val="0"/>
          <w:lang w:val="en-US"/>
        </w:rPr>
        <w:t xml:space="preserve">performance </w:t>
      </w:r>
      <w:r>
        <w:rPr>
          <w:rFonts w:cs="Arial Unicode MS" w:eastAsia="Arial Unicode MS"/>
          <w:rtl w:val="0"/>
          <w:lang w:val="en-US"/>
        </w:rPr>
        <w:t xml:space="preserve">in maths and reading combined (pass rate of </w:t>
      </w:r>
      <w:r>
        <w:rPr>
          <w:rFonts w:cs="Arial Unicode MS" w:eastAsia="Arial Unicode MS"/>
          <w:rtl w:val="0"/>
        </w:rPr>
        <w:t>&lt;55%</w:t>
      </w:r>
      <w:r>
        <w:rPr>
          <w:rFonts w:cs="Arial Unicode MS" w:eastAsia="Arial Unicode MS"/>
          <w:rtl w:val="0"/>
          <w:lang w:val="en-US"/>
        </w:rPr>
        <w:t xml:space="preserve">). This trend was again independent of the budget available to spend per student. There was a striking correlation of low performing district schools to being a large school size.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ab/>
        <w:t>Table 2: Performance based of the type of the schools</w:t>
      </w:r>
    </w:p>
    <w:tbl>
      <w:tblPr>
        <w:tblW w:w="8572" w:type="dxa"/>
        <w:jc w:val="right"/>
        <w:tblInd w:w="108" w:type="dxa"/>
        <w:tblBorders>
          <w:top w:val="single" w:color="8ea47c" w:sz="2" w:space="0" w:shadow="0" w:frame="0"/>
          <w:left w:val="single" w:color="8ea47c" w:sz="2" w:space="0" w:shadow="0" w:frame="0"/>
          <w:bottom w:val="single" w:color="8ea47c" w:sz="2" w:space="0" w:shadow="0" w:frame="0"/>
          <w:right w:val="single" w:color="8ea47c" w:sz="2" w:space="0" w:shadow="0" w:frame="0"/>
          <w:insideH w:val="single" w:color="8ea47c" w:sz="2" w:space="0" w:shadow="0" w:frame="0"/>
          <w:insideV w:val="single" w:color="8ea47c" w:sz="2" w:space="0" w:shadow="0" w:frame="0"/>
        </w:tblBorders>
        <w:shd w:val="clear" w:color="auto" w:fill="f4f8ee"/>
        <w:tblLayout w:type="fixed"/>
      </w:tblPr>
      <w:tblGrid>
        <w:gridCol w:w="1208"/>
        <w:gridCol w:w="1309"/>
        <w:gridCol w:w="1633"/>
        <w:gridCol w:w="1396"/>
        <w:gridCol w:w="1451"/>
        <w:gridCol w:w="1575"/>
      </w:tblGrid>
      <w:tr>
        <w:tblPrEx>
          <w:shd w:val="clear" w:color="auto" w:fill="f4f8ee"/>
        </w:tblPrEx>
        <w:trPr>
          <w:trHeight w:val="893" w:hRule="atLeast"/>
        </w:trPr>
        <w:tc>
          <w:tcPr>
            <w:tcW w:type="dxa" w:w="120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30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Average Math Score</w:t>
            </w:r>
          </w:p>
        </w:tc>
        <w:tc>
          <w:tcPr>
            <w:tcW w:type="dxa" w:w="1632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Average Reading Score</w:t>
            </w:r>
          </w:p>
        </w:tc>
        <w:tc>
          <w:tcPr>
            <w:tcW w:type="dxa" w:w="1396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% Passing Math</w:t>
            </w:r>
          </w:p>
        </w:tc>
        <w:tc>
          <w:tcPr>
            <w:tcW w:type="dxa" w:w="1451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% Passing Reading</w:t>
            </w:r>
          </w:p>
        </w:tc>
        <w:tc>
          <w:tcPr>
            <w:tcW w:type="dxa" w:w="1574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Overall Passing Rate</w:t>
            </w:r>
          </w:p>
        </w:tc>
      </w:tr>
      <w:tr>
        <w:tblPrEx>
          <w:shd w:val="clear" w:color="auto" w:fill="f4f8ee"/>
        </w:tblPrEx>
        <w:trPr>
          <w:trHeight w:val="593" w:hRule="atLeast"/>
        </w:trPr>
        <w:tc>
          <w:tcPr>
            <w:tcW w:type="dxa" w:w="120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School Type</w:t>
            </w:r>
          </w:p>
        </w:tc>
        <w:tc>
          <w:tcPr>
            <w:tcW w:type="dxa" w:w="130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632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39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45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574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</w:tr>
      <w:tr>
        <w:tblPrEx>
          <w:shd w:val="clear" w:color="auto" w:fill="f4f8ee"/>
        </w:tblPrEx>
        <w:trPr>
          <w:trHeight w:val="293" w:hRule="atLeast"/>
        </w:trPr>
        <w:tc>
          <w:tcPr>
            <w:tcW w:type="dxa" w:w="1208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Charter</w:t>
            </w:r>
          </w:p>
        </w:tc>
        <w:tc>
          <w:tcPr>
            <w:tcW w:type="dxa" w:w="1308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83.473852</w:t>
            </w:r>
          </w:p>
        </w:tc>
        <w:tc>
          <w:tcPr>
            <w:tcW w:type="dxa" w:w="1632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83.896421</w:t>
            </w:r>
          </w:p>
        </w:tc>
        <w:tc>
          <w:tcPr>
            <w:tcW w:type="dxa" w:w="1396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93.620830</w:t>
            </w:r>
          </w:p>
        </w:tc>
        <w:tc>
          <w:tcPr>
            <w:tcW w:type="dxa" w:w="1451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96.586489</w:t>
            </w:r>
          </w:p>
        </w:tc>
        <w:tc>
          <w:tcPr>
            <w:tcW w:type="dxa" w:w="1574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90.432244</w:t>
            </w:r>
          </w:p>
        </w:tc>
      </w:tr>
      <w:tr>
        <w:tblPrEx>
          <w:shd w:val="clear" w:color="auto" w:fill="f4f8ee"/>
        </w:tblPrEx>
        <w:trPr>
          <w:trHeight w:val="293" w:hRule="atLeast"/>
        </w:trPr>
        <w:tc>
          <w:tcPr>
            <w:tcW w:type="dxa" w:w="120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District</w:t>
            </w:r>
          </w:p>
        </w:tc>
        <w:tc>
          <w:tcPr>
            <w:tcW w:type="dxa" w:w="130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76.956733</w:t>
            </w:r>
          </w:p>
        </w:tc>
        <w:tc>
          <w:tcPr>
            <w:tcW w:type="dxa" w:w="1632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80.966636</w:t>
            </w:r>
          </w:p>
        </w:tc>
        <w:tc>
          <w:tcPr>
            <w:tcW w:type="dxa" w:w="139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66.548453</w:t>
            </w:r>
          </w:p>
        </w:tc>
        <w:tc>
          <w:tcPr>
            <w:tcW w:type="dxa" w:w="145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80.799062</w:t>
            </w:r>
          </w:p>
        </w:tc>
        <w:tc>
          <w:tcPr>
            <w:tcW w:type="dxa" w:w="1574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53.672208</w:t>
            </w:r>
          </w:p>
        </w:tc>
      </w:tr>
    </w:tbl>
    <w:p>
      <w:pPr>
        <w:pStyle w:val="Default"/>
        <w:bidi w:val="0"/>
        <w:spacing w:after="0" w:line="240" w:lineRule="auto"/>
        <w:ind w:left="0" w:right="0" w:firstLine="0"/>
        <w:jc w:val="right"/>
        <w:rPr>
          <w:rFonts w:ascii="Helvetica Neue" w:cs="Helvetica Neue" w:hAnsi="Helvetica Neue" w:eastAsia="Helvetica Neue"/>
          <w:shd w:val="clear" w:color="auto" w:fill="ffffff"/>
          <w:rtl w:val="0"/>
        </w:rPr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The average math scores of students from large-sized district schools were of the lower level compared to the small/medium sized charter schools</w:t>
      </w:r>
      <w:r>
        <w:rPr>
          <w:rFonts w:cs="Arial Unicode MS" w:eastAsia="Arial Unicode MS"/>
          <w:rtl w:val="0"/>
          <w:lang w:val="en-US"/>
        </w:rPr>
        <w:t xml:space="preserve">. Charter schools of </w:t>
      </w:r>
      <w:r>
        <w:rPr>
          <w:rFonts w:cs="Arial Unicode MS" w:eastAsia="Arial Unicode MS"/>
          <w:rtl w:val="0"/>
          <w:lang w:val="en-US"/>
        </w:rPr>
        <w:t>small or medium size</w:t>
      </w:r>
      <w:r>
        <w:rPr>
          <w:rFonts w:cs="Arial Unicode MS" w:eastAsia="Arial Unicode MS"/>
          <w:rtl w:val="0"/>
          <w:lang w:val="en-US"/>
        </w:rPr>
        <w:t xml:space="preserve"> were at the top of the performance table (Table 3).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ab/>
        <w:t>Table 3: Performance based of the size of the schools</w:t>
      </w:r>
    </w:p>
    <w:tbl>
      <w:tblPr>
        <w:tblW w:w="9020" w:type="dxa"/>
        <w:jc w:val="right"/>
        <w:tblInd w:w="108" w:type="dxa"/>
        <w:tblBorders>
          <w:top w:val="single" w:color="8ea47c" w:sz="2" w:space="0" w:shadow="0" w:frame="0"/>
          <w:left w:val="single" w:color="8ea47c" w:sz="2" w:space="0" w:shadow="0" w:frame="0"/>
          <w:bottom w:val="single" w:color="8ea47c" w:sz="2" w:space="0" w:shadow="0" w:frame="0"/>
          <w:right w:val="single" w:color="8ea47c" w:sz="2" w:space="0" w:shadow="0" w:frame="0"/>
          <w:insideH w:val="single" w:color="8ea47c" w:sz="2" w:space="0" w:shadow="0" w:frame="0"/>
          <w:insideV w:val="single" w:color="8ea47c" w:sz="2" w:space="0" w:shadow="0" w:frame="0"/>
        </w:tblBorders>
        <w:shd w:val="clear" w:color="auto" w:fill="f4f8ee"/>
        <w:tblLayout w:type="fixed"/>
      </w:tblPr>
      <w:tblGrid>
        <w:gridCol w:w="1782"/>
        <w:gridCol w:w="1517"/>
        <w:gridCol w:w="1432"/>
        <w:gridCol w:w="1361"/>
        <w:gridCol w:w="1380"/>
        <w:gridCol w:w="1548"/>
      </w:tblGrid>
      <w:tr>
        <w:tblPrEx>
          <w:shd w:val="clear" w:color="auto" w:fill="f4f8ee"/>
        </w:tblPrEx>
        <w:trPr>
          <w:trHeight w:val="893" w:hRule="atLeast"/>
        </w:trPr>
        <w:tc>
          <w:tcPr>
            <w:tcW w:type="dxa" w:w="1782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517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Average Math Score</w:t>
            </w:r>
          </w:p>
        </w:tc>
        <w:tc>
          <w:tcPr>
            <w:tcW w:type="dxa" w:w="1432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Average Reading Score</w:t>
            </w:r>
          </w:p>
        </w:tc>
        <w:tc>
          <w:tcPr>
            <w:tcW w:type="dxa" w:w="1360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% Passing Math</w:t>
            </w:r>
          </w:p>
        </w:tc>
        <w:tc>
          <w:tcPr>
            <w:tcW w:type="dxa" w:w="1380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% Passing Reading</w:t>
            </w:r>
          </w:p>
        </w:tc>
        <w:tc>
          <w:tcPr>
            <w:tcW w:type="dxa" w:w="1547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Overall Passing Rate</w:t>
            </w:r>
          </w:p>
        </w:tc>
      </w:tr>
      <w:tr>
        <w:tblPrEx>
          <w:shd w:val="clear" w:color="auto" w:fill="f4f8ee"/>
        </w:tblPrEx>
        <w:trPr>
          <w:trHeight w:val="293" w:hRule="atLeast"/>
        </w:trPr>
        <w:tc>
          <w:tcPr>
            <w:tcW w:type="dxa" w:w="1782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School size</w:t>
            </w:r>
          </w:p>
        </w:tc>
        <w:tc>
          <w:tcPr>
            <w:tcW w:type="dxa" w:w="1517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432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360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380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547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</w:tr>
      <w:tr>
        <w:tblPrEx>
          <w:shd w:val="clear" w:color="auto" w:fill="f4f8ee"/>
        </w:tblPrEx>
        <w:trPr>
          <w:trHeight w:val="293" w:hRule="atLeast"/>
        </w:trPr>
        <w:tc>
          <w:tcPr>
            <w:tcW w:type="dxa" w:w="1782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Small (&lt;1000)</w:t>
            </w:r>
          </w:p>
        </w:tc>
        <w:tc>
          <w:tcPr>
            <w:tcW w:type="dxa" w:w="1517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83.821598</w:t>
            </w:r>
          </w:p>
        </w:tc>
        <w:tc>
          <w:tcPr>
            <w:tcW w:type="dxa" w:w="1432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83.929843</w:t>
            </w:r>
          </w:p>
        </w:tc>
        <w:tc>
          <w:tcPr>
            <w:tcW w:type="dxa" w:w="1360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93.550225</w:t>
            </w:r>
          </w:p>
        </w:tc>
        <w:tc>
          <w:tcPr>
            <w:tcW w:type="dxa" w:w="1380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96.099437</w:t>
            </w:r>
          </w:p>
        </w:tc>
        <w:tc>
          <w:tcPr>
            <w:tcW w:type="dxa" w:w="1547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89.883853</w:t>
            </w:r>
          </w:p>
        </w:tc>
      </w:tr>
      <w:tr>
        <w:tblPrEx>
          <w:shd w:val="clear" w:color="auto" w:fill="f4f8ee"/>
        </w:tblPrEx>
        <w:trPr>
          <w:trHeight w:val="593" w:hRule="atLeast"/>
        </w:trPr>
        <w:tc>
          <w:tcPr>
            <w:tcW w:type="dxa" w:w="1782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Medium (1000-2000)</w:t>
            </w:r>
          </w:p>
        </w:tc>
        <w:tc>
          <w:tcPr>
            <w:tcW w:type="dxa" w:w="1517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83.374684</w:t>
            </w:r>
          </w:p>
        </w:tc>
        <w:tc>
          <w:tcPr>
            <w:tcW w:type="dxa" w:w="1432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83.864438</w:t>
            </w:r>
          </w:p>
        </w:tc>
        <w:tc>
          <w:tcPr>
            <w:tcW w:type="dxa" w:w="1360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93.599695</w:t>
            </w:r>
          </w:p>
        </w:tc>
        <w:tc>
          <w:tcPr>
            <w:tcW w:type="dxa" w:w="1380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96.790680</w:t>
            </w:r>
          </w:p>
        </w:tc>
        <w:tc>
          <w:tcPr>
            <w:tcW w:type="dxa" w:w="1547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90.621535</w:t>
            </w:r>
          </w:p>
        </w:tc>
      </w:tr>
      <w:tr>
        <w:tblPrEx>
          <w:shd w:val="clear" w:color="auto" w:fill="f4f8ee"/>
        </w:tblPrEx>
        <w:trPr>
          <w:trHeight w:val="593" w:hRule="atLeast"/>
        </w:trPr>
        <w:tc>
          <w:tcPr>
            <w:tcW w:type="dxa" w:w="1782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Large (2000-5000)</w:t>
            </w:r>
          </w:p>
        </w:tc>
        <w:tc>
          <w:tcPr>
            <w:tcW w:type="dxa" w:w="1517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77.746417</w:t>
            </w:r>
          </w:p>
        </w:tc>
        <w:tc>
          <w:tcPr>
            <w:tcW w:type="dxa" w:w="1432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81.344493</w:t>
            </w:r>
          </w:p>
        </w:tc>
        <w:tc>
          <w:tcPr>
            <w:tcW w:type="dxa" w:w="1360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69.963361</w:t>
            </w:r>
          </w:p>
        </w:tc>
        <w:tc>
          <w:tcPr>
            <w:tcW w:type="dxa" w:w="1380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82.766634</w:t>
            </w:r>
          </w:p>
        </w:tc>
        <w:tc>
          <w:tcPr>
            <w:tcW w:type="dxa" w:w="1547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58.286003</w:t>
            </w:r>
          </w:p>
        </w:tc>
      </w:tr>
    </w:tbl>
    <w:p>
      <w:pPr>
        <w:pStyle w:val="Default"/>
        <w:bidi w:val="0"/>
        <w:spacing w:after="0" w:line="240" w:lineRule="auto"/>
        <w:ind w:left="0" w:right="0" w:firstLine="0"/>
        <w:jc w:val="right"/>
        <w:rPr>
          <w:rFonts w:ascii="Helvetica Neue" w:cs="Helvetica Neue" w:hAnsi="Helvetica Neue" w:eastAsia="Helvetica Neue"/>
          <w:shd w:val="clear" w:color="auto" w:fill="ffffff"/>
          <w:rtl w:val="0"/>
        </w:rPr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The average reading scores and its pass rate across different types and sizes of schools were similar (Tables 2&amp; 3), indicating the resources available for English language seemed to be of an appropriate standard requiring minimum policy changes in this area. However, the strikingly large difference in the </w:t>
      </w:r>
      <w:r>
        <w:rPr>
          <w:rFonts w:cs="Arial Unicode MS" w:eastAsia="Arial Unicode MS"/>
          <w:rtl w:val="0"/>
          <w:lang w:val="en-US"/>
        </w:rPr>
        <w:t xml:space="preserve">students </w:t>
      </w:r>
      <w:r>
        <w:rPr>
          <w:rFonts w:cs="Arial Unicode MS" w:eastAsia="Arial Unicode MS"/>
          <w:rtl w:val="0"/>
          <w:lang w:val="en-US"/>
        </w:rPr>
        <w:t xml:space="preserve">performance in maths subject across various types and size of schools </w:t>
      </w:r>
      <w:r>
        <w:rPr>
          <w:rFonts w:cs="Arial Unicode MS" w:eastAsia="Arial Unicode MS"/>
          <w:rtl w:val="0"/>
          <w:lang w:val="fr-FR"/>
        </w:rPr>
        <w:t>(Tables 2&amp; 3)</w:t>
      </w:r>
      <w:r>
        <w:rPr>
          <w:rFonts w:cs="Arial Unicode MS" w:eastAsia="Arial Unicode MS"/>
          <w:rtl w:val="0"/>
          <w:lang w:val="en-US"/>
        </w:rPr>
        <w:t xml:space="preserve"> demands a review of the facilities and resources available for teaching maths in large district schools. A review plan into the modes of improving maths education and taking necessary steps to improve are highly recommended for</w:t>
      </w:r>
      <w:r>
        <w:rPr>
          <w:rFonts w:cs="Arial Unicode MS" w:eastAsia="Arial Unicode MS"/>
          <w:rtl w:val="0"/>
          <w:lang w:val="en-US"/>
        </w:rPr>
        <w:t xml:space="preserve"> the district schools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ab/>
        <w:t>Table 4: Performance based on budget availability per student</w:t>
      </w:r>
    </w:p>
    <w:tbl>
      <w:tblPr>
        <w:tblW w:w="9019" w:type="dxa"/>
        <w:jc w:val="right"/>
        <w:tblInd w:w="108" w:type="dxa"/>
        <w:tblBorders>
          <w:top w:val="single" w:color="8ea47c" w:sz="2" w:space="0" w:shadow="0" w:frame="0"/>
          <w:left w:val="single" w:color="8ea47c" w:sz="2" w:space="0" w:shadow="0" w:frame="0"/>
          <w:bottom w:val="single" w:color="8ea47c" w:sz="2" w:space="0" w:shadow="0" w:frame="0"/>
          <w:right w:val="single" w:color="8ea47c" w:sz="2" w:space="0" w:shadow="0" w:frame="0"/>
          <w:insideH w:val="single" w:color="8ea47c" w:sz="2" w:space="0" w:shadow="0" w:frame="0"/>
          <w:insideV w:val="single" w:color="8ea47c" w:sz="2" w:space="0" w:shadow="0" w:frame="0"/>
        </w:tblBorders>
        <w:shd w:val="clear" w:color="auto" w:fill="f4f8ee"/>
        <w:tblLayout w:type="fixed"/>
      </w:tblPr>
      <w:tblGrid>
        <w:gridCol w:w="2193"/>
        <w:gridCol w:w="1098"/>
        <w:gridCol w:w="1347"/>
        <w:gridCol w:w="1482"/>
        <w:gridCol w:w="1496"/>
        <w:gridCol w:w="1403"/>
      </w:tblGrid>
      <w:tr>
        <w:tblPrEx>
          <w:shd w:val="clear" w:color="auto" w:fill="f4f8ee"/>
        </w:tblPrEx>
        <w:trPr>
          <w:trHeight w:val="893" w:hRule="atLeast"/>
        </w:trPr>
        <w:tc>
          <w:tcPr>
            <w:tcW w:type="dxa" w:w="219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98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Average Math Score</w:t>
            </w:r>
          </w:p>
        </w:tc>
        <w:tc>
          <w:tcPr>
            <w:tcW w:type="dxa" w:w="1346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Average Reading Score</w:t>
            </w:r>
          </w:p>
        </w:tc>
        <w:tc>
          <w:tcPr>
            <w:tcW w:type="dxa" w:w="1481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% Passing Math</w:t>
            </w:r>
          </w:p>
        </w:tc>
        <w:tc>
          <w:tcPr>
            <w:tcW w:type="dxa" w:w="1495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% Passing Reading</w:t>
            </w:r>
          </w:p>
        </w:tc>
        <w:tc>
          <w:tcPr>
            <w:tcW w:type="dxa" w:w="1403"/>
            <w:tcBorders>
              <w:top w:val="nil"/>
              <w:left w:val="nil"/>
              <w:bottom w:val="nil"/>
              <w:right w:val="nil"/>
            </w:tcBorders>
            <w:shd w:val="clear" w:color="auto" w:fill="f4f8e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Overall Passing Rate</w:t>
            </w:r>
          </w:p>
        </w:tc>
      </w:tr>
      <w:tr>
        <w:tblPrEx>
          <w:shd w:val="clear" w:color="auto" w:fill="f4f8ee"/>
        </w:tblPrEx>
        <w:trPr>
          <w:trHeight w:val="593" w:hRule="atLeast"/>
        </w:trPr>
        <w:tc>
          <w:tcPr>
            <w:tcW w:type="dxa" w:w="219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Spending ranges</w:t>
            </w:r>
          </w:p>
        </w:tc>
        <w:tc>
          <w:tcPr>
            <w:tcW w:type="dxa" w:w="109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34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48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495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  <w:tc>
          <w:tcPr>
            <w:tcW w:type="dxa" w:w="140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/>
        </w:tc>
      </w:tr>
      <w:tr>
        <w:tblPrEx>
          <w:shd w:val="clear" w:color="auto" w:fill="f4f8ee"/>
        </w:tblPrEx>
        <w:trPr>
          <w:trHeight w:val="293" w:hRule="atLeast"/>
        </w:trPr>
        <w:tc>
          <w:tcPr>
            <w:tcW w:type="dxa" w:w="2193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&lt;$599</w:t>
            </w:r>
          </w:p>
        </w:tc>
        <w:tc>
          <w:tcPr>
            <w:tcW w:type="dxa" w:w="1098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83.455399</w:t>
            </w:r>
          </w:p>
        </w:tc>
        <w:tc>
          <w:tcPr>
            <w:tcW w:type="dxa" w:w="1346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83.933814</w:t>
            </w:r>
          </w:p>
        </w:tc>
        <w:tc>
          <w:tcPr>
            <w:tcW w:type="dxa" w:w="1481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93.460096</w:t>
            </w:r>
          </w:p>
        </w:tc>
        <w:tc>
          <w:tcPr>
            <w:tcW w:type="dxa" w:w="1495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96.610877</w:t>
            </w:r>
          </w:p>
        </w:tc>
        <w:tc>
          <w:tcPr>
            <w:tcW w:type="dxa" w:w="1403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90.369459</w:t>
            </w:r>
          </w:p>
        </w:tc>
      </w:tr>
      <w:tr>
        <w:tblPrEx>
          <w:shd w:val="clear" w:color="auto" w:fill="f4f8ee"/>
        </w:tblPrEx>
        <w:trPr>
          <w:trHeight w:val="293" w:hRule="atLeast"/>
        </w:trPr>
        <w:tc>
          <w:tcPr>
            <w:tcW w:type="dxa" w:w="219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$600-625</w:t>
            </w:r>
          </w:p>
        </w:tc>
        <w:tc>
          <w:tcPr>
            <w:tcW w:type="dxa" w:w="109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83.599686</w:t>
            </w:r>
          </w:p>
        </w:tc>
        <w:tc>
          <w:tcPr>
            <w:tcW w:type="dxa" w:w="134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83.885211</w:t>
            </w:r>
          </w:p>
        </w:tc>
        <w:tc>
          <w:tcPr>
            <w:tcW w:type="dxa" w:w="148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94.230858</w:t>
            </w:r>
          </w:p>
        </w:tc>
        <w:tc>
          <w:tcPr>
            <w:tcW w:type="dxa" w:w="1495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95.900287</w:t>
            </w:r>
          </w:p>
        </w:tc>
        <w:tc>
          <w:tcPr>
            <w:tcW w:type="dxa" w:w="140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90.216324</w:t>
            </w:r>
          </w:p>
        </w:tc>
      </w:tr>
      <w:tr>
        <w:tblPrEx>
          <w:shd w:val="clear" w:color="auto" w:fill="f4f8ee"/>
        </w:tblPrEx>
        <w:trPr>
          <w:trHeight w:val="293" w:hRule="atLeast"/>
        </w:trPr>
        <w:tc>
          <w:tcPr>
            <w:tcW w:type="dxa" w:w="2193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$626-649</w:t>
            </w:r>
          </w:p>
        </w:tc>
        <w:tc>
          <w:tcPr>
            <w:tcW w:type="dxa" w:w="1098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79.079225</w:t>
            </w:r>
          </w:p>
        </w:tc>
        <w:tc>
          <w:tcPr>
            <w:tcW w:type="dxa" w:w="1346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81.891436</w:t>
            </w:r>
          </w:p>
        </w:tc>
        <w:tc>
          <w:tcPr>
            <w:tcW w:type="dxa" w:w="1481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75.668212</w:t>
            </w:r>
          </w:p>
        </w:tc>
        <w:tc>
          <w:tcPr>
            <w:tcW w:type="dxa" w:w="1495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86.106569</w:t>
            </w:r>
          </w:p>
        </w:tc>
        <w:tc>
          <w:tcPr>
            <w:tcW w:type="dxa" w:w="1403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66.112060</w:t>
            </w:r>
          </w:p>
        </w:tc>
      </w:tr>
      <w:tr>
        <w:tblPrEx>
          <w:shd w:val="clear" w:color="auto" w:fill="f4f8ee"/>
        </w:tblPrEx>
        <w:trPr>
          <w:trHeight w:val="293" w:hRule="atLeast"/>
        </w:trPr>
        <w:tc>
          <w:tcPr>
            <w:tcW w:type="dxa" w:w="219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Helvetica Neue" w:hAnsi="Helvetica Neue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$650-675</w:t>
            </w:r>
          </w:p>
        </w:tc>
        <w:tc>
          <w:tcPr>
            <w:tcW w:type="dxa" w:w="1098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76.997210</w:t>
            </w:r>
          </w:p>
        </w:tc>
        <w:tc>
          <w:tcPr>
            <w:tcW w:type="dxa" w:w="1346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81.027843</w:t>
            </w:r>
          </w:p>
        </w:tc>
        <w:tc>
          <w:tcPr>
            <w:tcW w:type="dxa" w:w="1481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66.164813</w:t>
            </w:r>
          </w:p>
        </w:tc>
        <w:tc>
          <w:tcPr>
            <w:tcW w:type="dxa" w:w="1495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81.133951</w:t>
            </w:r>
          </w:p>
        </w:tc>
        <w:tc>
          <w:tcPr>
            <w:tcW w:type="dxa" w:w="1403"/>
            <w:tcBorders>
              <w:top w:val="nil"/>
              <w:left w:val="nil"/>
              <w:bottom w:val="nil"/>
              <w:right w:val="nil"/>
            </w:tcBorders>
            <w:shd w:val="clear" w:color="auto" w:fill="e6ede1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4"/>
                <w:szCs w:val="24"/>
                <w:u w:val="none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324A24"/>
                  </w14:solidFill>
                </w14:textFill>
              </w:rPr>
              <w:t>53.526855</w:t>
            </w:r>
          </w:p>
        </w:tc>
      </w:tr>
    </w:tbl>
    <w:p>
      <w:pPr>
        <w:pStyle w:val="Default"/>
        <w:bidi w:val="0"/>
        <w:spacing w:after="0" w:line="240" w:lineRule="auto"/>
        <w:ind w:left="0" w:right="0" w:firstLine="0"/>
        <w:jc w:val="right"/>
        <w:rPr>
          <w:rFonts w:ascii="Helvetica Neue" w:cs="Helvetica Neue" w:hAnsi="Helvetica Neue" w:eastAsia="Helvetica Neue"/>
          <w:shd w:val="clear" w:color="auto" w:fill="ffffff"/>
          <w:rtl w:val="0"/>
        </w:rPr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 The availability of budget per student was of a higher value in the low performing large district schools (</w:t>
      </w:r>
      <w:r>
        <w:rPr>
          <w:rFonts w:cs="Arial Unicode MS" w:eastAsia="Arial Unicode MS" w:hint="default"/>
          <w:rtl w:val="0"/>
          <w:lang w:val="en-US"/>
        </w:rPr>
        <w:t>‘</w:t>
      </w:r>
      <w:r>
        <w:rPr>
          <w:rFonts w:cs="Arial Unicode MS" w:eastAsia="Arial Unicode MS"/>
          <w:rtl w:val="0"/>
          <w:lang w:val="en-US"/>
        </w:rPr>
        <w:t>$626-649</w:t>
      </w:r>
      <w:r>
        <w:rPr>
          <w:rFonts w:cs="Arial Unicode MS" w:eastAsia="Arial Unicode MS" w:hint="default"/>
          <w:rtl w:val="0"/>
          <w:lang w:val="en-US"/>
        </w:rPr>
        <w:t xml:space="preserve">’ </w:t>
      </w:r>
      <w:r>
        <w:rPr>
          <w:rFonts w:cs="Arial Unicode MS" w:eastAsia="Arial Unicode MS"/>
          <w:rtl w:val="0"/>
          <w:lang w:val="en-US"/>
        </w:rPr>
        <w:t xml:space="preserve">&amp; </w:t>
      </w:r>
      <w:r>
        <w:rPr>
          <w:rFonts w:cs="Arial Unicode MS" w:eastAsia="Arial Unicode MS" w:hint="default"/>
          <w:rtl w:val="0"/>
          <w:lang w:val="en-US"/>
        </w:rPr>
        <w:t>‘</w:t>
      </w:r>
      <w:r>
        <w:rPr>
          <w:rFonts w:cs="Arial Unicode MS" w:eastAsia="Arial Unicode MS"/>
          <w:rtl w:val="0"/>
          <w:lang w:val="en-US"/>
        </w:rPr>
        <w:t>$650-675</w:t>
      </w:r>
      <w:r>
        <w:rPr>
          <w:rFonts w:cs="Arial Unicode MS" w:eastAsia="Arial Unicode MS" w:hint="default"/>
          <w:rtl w:val="0"/>
          <w:lang w:val="en-US"/>
        </w:rPr>
        <w:t>’</w:t>
      </w:r>
      <w:r>
        <w:rPr>
          <w:rFonts w:cs="Arial Unicode MS" w:eastAsia="Arial Unicode MS"/>
          <w:rtl w:val="0"/>
          <w:lang w:val="en-US"/>
        </w:rPr>
        <w:t>) compared to high performing Charter schools (</w:t>
      </w:r>
      <w:r>
        <w:rPr>
          <w:rFonts w:cs="Arial Unicode MS" w:eastAsia="Arial Unicode MS" w:hint="default"/>
          <w:rtl w:val="0"/>
          <w:lang w:val="en-US"/>
        </w:rPr>
        <w:t>‘</w:t>
      </w:r>
      <w:r>
        <w:rPr>
          <w:rFonts w:cs="Arial Unicode MS" w:eastAsia="Arial Unicode MS"/>
          <w:rtl w:val="0"/>
          <w:lang w:val="en-US"/>
        </w:rPr>
        <w:t>&lt;$599</w:t>
      </w:r>
      <w:r>
        <w:rPr>
          <w:rFonts w:cs="Arial Unicode MS" w:eastAsia="Arial Unicode MS" w:hint="default"/>
          <w:rtl w:val="0"/>
          <w:lang w:val="en-US"/>
        </w:rPr>
        <w:t xml:space="preserve">’ </w:t>
      </w:r>
      <w:r>
        <w:rPr>
          <w:rFonts w:cs="Arial Unicode MS" w:eastAsia="Arial Unicode MS"/>
          <w:rtl w:val="0"/>
          <w:lang w:val="en-US"/>
        </w:rPr>
        <w:t xml:space="preserve">&amp; </w:t>
      </w:r>
      <w:r>
        <w:rPr>
          <w:rFonts w:cs="Arial Unicode MS" w:eastAsia="Arial Unicode MS" w:hint="default"/>
          <w:rtl w:val="0"/>
          <w:lang w:val="en-US"/>
        </w:rPr>
        <w:t>‘</w:t>
      </w:r>
      <w:r>
        <w:rPr>
          <w:rFonts w:cs="Arial Unicode MS" w:eastAsia="Arial Unicode MS"/>
          <w:rtl w:val="0"/>
          <w:lang w:val="en-US"/>
        </w:rPr>
        <w:t>$600-625</w:t>
      </w:r>
      <w:r>
        <w:rPr>
          <w:rFonts w:cs="Arial Unicode MS" w:eastAsia="Arial Unicode MS" w:hint="default"/>
          <w:rtl w:val="0"/>
          <w:lang w:val="en-US"/>
        </w:rPr>
        <w:t>’</w:t>
      </w:r>
      <w:r>
        <w:rPr>
          <w:rFonts w:cs="Arial Unicode MS" w:eastAsia="Arial Unicode MS"/>
          <w:rtl w:val="0"/>
          <w:lang w:val="en-US"/>
        </w:rPr>
        <w:t>). This increased availability of budget per student needs to be utilised by the district schools more wisely in improving the maths education facilities and provisions.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6"/>
      <w:footerReference w:type="default" r:id="rId7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Baskerville SemiBold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0"/>
      </w:tabs>
      <w:jc w:val="left"/>
    </w:pPr>
    <w:r>
      <w:rPr>
        <w:rtl w:val="0"/>
        <w:lang w:val="en-US"/>
      </w:rPr>
      <w:t>School Performance report</w:t>
    </w: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decimal"/>
      <w:suff w:val="tab"/>
      <w:lvlText w:val="(%1)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(%2)"/>
      <w:lvlJc w:val="left"/>
      <w:pPr>
        <w:ind w:left="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(%3)"/>
      <w:lvlJc w:val="left"/>
      <w:pPr>
        <w:ind w:left="11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15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18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(%6)"/>
      <w:lvlJc w:val="left"/>
      <w:pPr>
        <w:ind w:left="22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(%7)"/>
      <w:lvlJc w:val="left"/>
      <w:pPr>
        <w:ind w:left="25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(%9)"/>
      <w:lvlJc w:val="left"/>
      <w:pPr>
        <w:ind w:left="33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232323"/>
        </w14:solidFill>
      </w14:textFill>
    </w:rPr>
  </w:style>
  <w:style w:type="paragraph" w:styleId="Title">
    <w:name w:val="Title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0"/>
    </w:pPr>
    <w:rPr>
      <w:rFonts w:ascii="Baskerville SemiBold" w:cs="Arial Unicode MS" w:hAnsi="Baskerville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b7196"/>
      <w:spacing w:val="6"/>
      <w:kern w:val="0"/>
      <w:position w:val="0"/>
      <w:sz w:val="64"/>
      <w:szCs w:val="6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C7196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Attribution">
    <w:name w:val="Attribution"/>
    <w:next w:val="Body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5B5854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444444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314924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324A24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