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080760" cy="2026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transparent_background_logo_graphic_png_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Manual de Identidade Visual</w:t>
      </w:r>
    </w:p>
    <w:p>
      <w:r>
        <w:rPr>
          <w:b w:val="0"/>
        </w:rPr>
        <w:t>FarmaVitta  |  Farmácias &amp; Bem-estar  |  Versão 1.0 • Outubro de 2026</w:t>
      </w:r>
    </w:p>
    <w:p>
      <w:r>
        <w:rPr>
          <w:b w:val="0"/>
        </w:rPr>
        <w:t>Documento de referência para materiais institucionais, fachadas, interfaces digitais e projeto Power BI/PBIP.</w:t>
      </w:r>
    </w:p>
    <w:p>
      <w:pPr>
        <w:pStyle w:val="Heading1"/>
      </w:pPr>
      <w:r>
        <w:t>01. Essência da marca</w:t>
      </w:r>
    </w:p>
    <w:p>
      <w:r>
        <w:rPr>
          <w:b w:val="0"/>
        </w:rPr>
        <w:t>Posicionamento: rede fictícia de farmácias com foco em cuidado próximo, conveniência e inteligência de negócio.</w:t>
      </w:r>
    </w:p>
    <w:p>
      <w:r>
        <w:rPr>
          <w:b w:val="0"/>
        </w:rPr>
        <w:t>Assinatura institucional: FARMÁCIAS &amp; BEM-ESTAR. Slogan de campanha: “Cuidar bem é viver melhor.”</w:t>
      </w:r>
    </w:p>
    <w:p>
      <w:r>
        <w:rPr>
          <w:b w:val="0"/>
        </w:rPr>
        <w:t>Personalidade: acolhedora, confiável, clara, contemporânea e acessível. Comunicação objetiva, sem promessas médicas.</w:t>
      </w:r>
    </w:p>
    <w:p>
      <w:pPr>
        <w:pStyle w:val="Heading1"/>
      </w:pPr>
      <w:r>
        <w:t>02. Paleta cromática oficial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03D45"/>
          </w:tcPr>
          <w:p>
            <w:r>
              <w:t>Cor</w:t>
            </w:r>
          </w:p>
        </w:tc>
        <w:tc>
          <w:tcPr>
            <w:tcW w:type="dxa" w:w="2448"/>
            <w:shd w:fill="103D45"/>
          </w:tcPr>
          <w:p>
            <w:r>
              <w:t>HEX</w:t>
            </w:r>
          </w:p>
        </w:tc>
        <w:tc>
          <w:tcPr>
            <w:tcW w:type="dxa" w:w="2448"/>
            <w:shd w:fill="103D45"/>
          </w:tcPr>
          <w:p>
            <w:r>
              <w:t>RGB</w:t>
            </w:r>
          </w:p>
        </w:tc>
        <w:tc>
          <w:tcPr>
            <w:tcW w:type="dxa" w:w="2448"/>
            <w:shd w:fill="103D45"/>
          </w:tcPr>
          <w:p>
            <w:r>
              <w:t>Aplicação</w:t>
            </w:r>
          </w:p>
        </w:tc>
      </w:tr>
      <w:tr>
        <w:tc>
          <w:tcPr>
            <w:tcW w:type="dxa" w:w="2448"/>
          </w:tcPr>
          <w:p>
            <w:r>
              <w:t>Petróleo profundo</w:t>
            </w:r>
          </w:p>
        </w:tc>
        <w:tc>
          <w:tcPr>
            <w:tcW w:type="dxa" w:w="2448"/>
          </w:tcPr>
          <w:p>
            <w:r>
              <w:t>#103D45</w:t>
            </w:r>
          </w:p>
        </w:tc>
        <w:tc>
          <w:tcPr>
            <w:tcW w:type="dxa" w:w="2448"/>
          </w:tcPr>
          <w:p>
            <w:r>
              <w:t>16, 61, 69</w:t>
            </w:r>
          </w:p>
        </w:tc>
        <w:tc>
          <w:tcPr>
            <w:tcW w:type="dxa" w:w="2448"/>
          </w:tcPr>
          <w:p>
            <w:r>
              <w:t>Cor principal; títulos, cabeçalhos e fundos escuros</w:t>
            </w:r>
          </w:p>
        </w:tc>
      </w:tr>
      <w:tr>
        <w:tc>
          <w:tcPr>
            <w:tcW w:type="dxa" w:w="2448"/>
          </w:tcPr>
          <w:p>
            <w:r>
              <w:t>Petróleo secundário</w:t>
            </w:r>
          </w:p>
        </w:tc>
        <w:tc>
          <w:tcPr>
            <w:tcW w:type="dxa" w:w="2448"/>
          </w:tcPr>
          <w:p>
            <w:r>
              <w:t>#125F61</w:t>
            </w:r>
          </w:p>
        </w:tc>
        <w:tc>
          <w:tcPr>
            <w:tcW w:type="dxa" w:w="2448"/>
          </w:tcPr>
          <w:p>
            <w:r>
              <w:t>18, 95, 97</w:t>
            </w:r>
          </w:p>
        </w:tc>
        <w:tc>
          <w:tcPr>
            <w:tcW w:type="dxa" w:w="2448"/>
          </w:tcPr>
          <w:p>
            <w:r>
              <w:t>Hover, elementos secundários e divisórias</w:t>
            </w:r>
          </w:p>
        </w:tc>
      </w:tr>
      <w:tr>
        <w:tc>
          <w:tcPr>
            <w:tcW w:type="dxa" w:w="2448"/>
          </w:tcPr>
          <w:p>
            <w:r>
              <w:t>Turquesa FarmaVitta</w:t>
            </w:r>
          </w:p>
        </w:tc>
        <w:tc>
          <w:tcPr>
            <w:tcW w:type="dxa" w:w="2448"/>
          </w:tcPr>
          <w:p>
            <w:r>
              <w:t>#18B89F</w:t>
            </w:r>
          </w:p>
        </w:tc>
        <w:tc>
          <w:tcPr>
            <w:tcW w:type="dxa" w:w="2448"/>
          </w:tcPr>
          <w:p>
            <w:r>
              <w:t>24, 184, 159</w:t>
            </w:r>
          </w:p>
        </w:tc>
        <w:tc>
          <w:tcPr>
            <w:tcW w:type="dxa" w:w="2448"/>
          </w:tcPr>
          <w:p>
            <w:r>
              <w:t>Destaques, ícones, indicadores positivos e CTAs</w:t>
            </w:r>
          </w:p>
        </w:tc>
      </w:tr>
      <w:tr>
        <w:tc>
          <w:tcPr>
            <w:tcW w:type="dxa" w:w="2448"/>
          </w:tcPr>
          <w:p>
            <w:r>
              <w:t>Menta clara</w:t>
            </w:r>
          </w:p>
        </w:tc>
        <w:tc>
          <w:tcPr>
            <w:tcW w:type="dxa" w:w="2448"/>
          </w:tcPr>
          <w:p>
            <w:r>
              <w:t>#DDF5EB</w:t>
            </w:r>
          </w:p>
        </w:tc>
        <w:tc>
          <w:tcPr>
            <w:tcW w:type="dxa" w:w="2448"/>
          </w:tcPr>
          <w:p>
            <w:r>
              <w:t>221, 245, 235</w:t>
            </w:r>
          </w:p>
        </w:tc>
        <w:tc>
          <w:tcPr>
            <w:tcW w:type="dxa" w:w="2448"/>
          </w:tcPr>
          <w:p>
            <w:r>
              <w:t>Superfícies suaves, etiquetas e estados selecionados</w:t>
            </w:r>
          </w:p>
        </w:tc>
      </w:tr>
      <w:tr>
        <w:tc>
          <w:tcPr>
            <w:tcW w:type="dxa" w:w="2448"/>
          </w:tcPr>
          <w:p>
            <w:r>
              <w:t>Branco gelo</w:t>
            </w:r>
          </w:p>
        </w:tc>
        <w:tc>
          <w:tcPr>
            <w:tcW w:type="dxa" w:w="2448"/>
          </w:tcPr>
          <w:p>
            <w:r>
              <w:t>#F7FAF9</w:t>
            </w:r>
          </w:p>
        </w:tc>
        <w:tc>
          <w:tcPr>
            <w:tcW w:type="dxa" w:w="2448"/>
          </w:tcPr>
          <w:p>
            <w:r>
              <w:t>247, 250, 249</w:t>
            </w:r>
          </w:p>
        </w:tc>
        <w:tc>
          <w:tcPr>
            <w:tcW w:type="dxa" w:w="2448"/>
          </w:tcPr>
          <w:p>
            <w:r>
              <w:t>Fundo principal dos dashboards</w:t>
            </w:r>
          </w:p>
        </w:tc>
      </w:tr>
      <w:tr>
        <w:tc>
          <w:tcPr>
            <w:tcW w:type="dxa" w:w="2448"/>
          </w:tcPr>
          <w:p>
            <w:r>
              <w:t>Coral de atenção</w:t>
            </w:r>
          </w:p>
        </w:tc>
        <w:tc>
          <w:tcPr>
            <w:tcW w:type="dxa" w:w="2448"/>
          </w:tcPr>
          <w:p>
            <w:r>
              <w:t>#EF9277</w:t>
            </w:r>
          </w:p>
        </w:tc>
        <w:tc>
          <w:tcPr>
            <w:tcW w:type="dxa" w:w="2448"/>
          </w:tcPr>
          <w:p>
            <w:r>
              <w:t>239, 146, 119</w:t>
            </w:r>
          </w:p>
        </w:tc>
        <w:tc>
          <w:tcPr>
            <w:tcW w:type="dxa" w:w="2448"/>
          </w:tcPr>
          <w:p>
            <w:r>
              <w:t>Alertas moderados, desvios e contraste controlado</w:t>
            </w:r>
          </w:p>
        </w:tc>
      </w:tr>
      <w:tr>
        <w:tc>
          <w:tcPr>
            <w:tcW w:type="dxa" w:w="2448"/>
          </w:tcPr>
          <w:p>
            <w:r>
              <w:t>Grafite</w:t>
            </w:r>
          </w:p>
        </w:tc>
        <w:tc>
          <w:tcPr>
            <w:tcW w:type="dxa" w:w="2448"/>
          </w:tcPr>
          <w:p>
            <w:r>
              <w:t>#26383B</w:t>
            </w:r>
          </w:p>
        </w:tc>
        <w:tc>
          <w:tcPr>
            <w:tcW w:type="dxa" w:w="2448"/>
          </w:tcPr>
          <w:p>
            <w:r>
              <w:t>38, 56, 59</w:t>
            </w:r>
          </w:p>
        </w:tc>
        <w:tc>
          <w:tcPr>
            <w:tcW w:type="dxa" w:w="2448"/>
          </w:tcPr>
          <w:p>
            <w:r>
              <w:t>Textos principais sobre fundos claros</w:t>
            </w:r>
          </w:p>
        </w:tc>
      </w:tr>
      <w:tr>
        <w:tc>
          <w:tcPr>
            <w:tcW w:type="dxa" w:w="2448"/>
          </w:tcPr>
          <w:p>
            <w:r>
              <w:t>Cinza auxiliar</w:t>
            </w:r>
          </w:p>
        </w:tc>
        <w:tc>
          <w:tcPr>
            <w:tcW w:type="dxa" w:w="2448"/>
          </w:tcPr>
          <w:p>
            <w:r>
              <w:t>#71858A</w:t>
            </w:r>
          </w:p>
        </w:tc>
        <w:tc>
          <w:tcPr>
            <w:tcW w:type="dxa" w:w="2448"/>
          </w:tcPr>
          <w:p>
            <w:r>
              <w:t>113, 133, 138</w:t>
            </w:r>
          </w:p>
        </w:tc>
        <w:tc>
          <w:tcPr>
            <w:tcW w:type="dxa" w:w="2448"/>
          </w:tcPr>
          <w:p>
            <w:r>
              <w:t>Legendas e metadados</w:t>
            </w:r>
          </w:p>
        </w:tc>
      </w:tr>
    </w:tbl>
    <w:p/>
    <w:p>
      <w:r>
        <w:rPr>
          <w:b w:val="0"/>
        </w:rPr>
        <w:t>Nota: as cores acima são tokens normativos do projeto; os gradientes e efeitos 3D do logotipo são ilustrativos e não substituem esses valores.</w:t>
      </w:r>
    </w:p>
    <w:p>
      <w:pPr>
        <w:pStyle w:val="Heading1"/>
      </w:pPr>
      <w:r>
        <w:t>03. Hierarquia e proporção de uso</w:t>
      </w:r>
    </w:p>
    <w:p>
      <w:r>
        <w:rPr>
          <w:b w:val="0"/>
        </w:rPr>
        <w:t>Proporção indicativa: 60% branco gelo e superfícies neutras, 25% petróleo, 10% turquesa/menta e até 5% coral. Não transformar o coral na cor principal.</w:t>
      </w:r>
    </w:p>
    <w:p>
      <w:r>
        <w:rPr>
          <w:b w:val="0"/>
        </w:rPr>
        <w:t>Em gráficos, use cores categóricas adicionais com diferenciação por rótulos, padrões ou posição — nunca apenas por cor.</w:t>
      </w:r>
    </w:p>
    <w:p>
      <w:pPr>
        <w:pStyle w:val="Heading1"/>
      </w:pPr>
      <w:r>
        <w:t>04. Aplicação do logotipo</w:t>
      </w:r>
    </w:p>
    <w:p>
      <w:r>
        <w:rPr>
          <w:b w:val="0"/>
        </w:rPr>
        <w:t>• Veiculação prioritária: logo horizontal completo em fundo branco gelo ou superfícies claras.</w:t>
      </w:r>
    </w:p>
    <w:p>
      <w:r>
        <w:rPr>
          <w:b w:val="0"/>
        </w:rPr>
        <w:t>• Em fundo petróleo, preferir uma versão oficial com lettering claro; não simplesmente inverter a imagem ou adicionar contornos.</w:t>
      </w:r>
    </w:p>
    <w:p>
      <w:r>
        <w:rPr>
          <w:b w:val="0"/>
        </w:rPr>
        <w:t>• Área de proteção: manter margem livre equivalente à altura da letra “F” ao redor do conjunto.</w:t>
      </w:r>
    </w:p>
    <w:p>
      <w:r>
        <w:rPr>
          <w:b w:val="0"/>
        </w:rPr>
        <w:t>• Tamanho mínimo sugerido: 160 px de largura no digital e 35 mm na impressão, validando a legibilidade da assinatura.</w:t>
      </w:r>
    </w:p>
    <w:p>
      <w:r>
        <w:rPr>
          <w:b w:val="0"/>
        </w:rPr>
        <w:t>• Não esticar, girar, recolorir livremente, adicionar sombra extra, aplicar sobre fotos poluídas ou separar o símbolo da tipografia sem uma versão homologada.</w:t>
      </w:r>
    </w:p>
    <w:p>
      <w:r>
        <w:rPr>
          <w:b w:val="0"/>
        </w:rPr>
        <w:t>• O PNG atual é a arte-matriz provisória. Para impressão em grande escala, recriar/validar uma versão vetorial SVG/PDF antes da produção.</w:t>
      </w:r>
    </w:p>
    <w:p>
      <w:pPr>
        <w:pStyle w:val="Heading1"/>
      </w:pPr>
      <w:r>
        <w:t>05. Tipografia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03D45"/>
          </w:tcPr>
          <w:p>
            <w:r>
              <w:t>Papel</w:t>
            </w:r>
          </w:p>
        </w:tc>
        <w:tc>
          <w:tcPr>
            <w:tcW w:type="dxa" w:w="3264"/>
            <w:shd w:fill="103D45"/>
          </w:tcPr>
          <w:p>
            <w:r>
              <w:t>Fonte recomendada</w:t>
            </w:r>
          </w:p>
        </w:tc>
        <w:tc>
          <w:tcPr>
            <w:tcW w:type="dxa" w:w="3264"/>
            <w:shd w:fill="103D45"/>
          </w:tcPr>
          <w:p>
            <w:r>
              <w:t>Regra</w:t>
            </w:r>
          </w:p>
        </w:tc>
      </w:tr>
      <w:tr>
        <w:tc>
          <w:tcPr>
            <w:tcW w:type="dxa" w:w="3264"/>
          </w:tcPr>
          <w:p>
            <w:r>
              <w:t>Títulos</w:t>
            </w:r>
          </w:p>
        </w:tc>
        <w:tc>
          <w:tcPr>
            <w:tcW w:type="dxa" w:w="3264"/>
          </w:tcPr>
          <w:p>
            <w:r>
              <w:t>Montserrat SemiBold / Aptos Display</w:t>
            </w:r>
          </w:p>
        </w:tc>
        <w:tc>
          <w:tcPr>
            <w:tcW w:type="dxa" w:w="3264"/>
          </w:tcPr>
          <w:p>
            <w:r>
              <w:t>Títulos curtos, forte hierarquia</w:t>
            </w:r>
          </w:p>
        </w:tc>
      </w:tr>
      <w:tr>
        <w:tc>
          <w:tcPr>
            <w:tcW w:type="dxa" w:w="3264"/>
          </w:tcPr>
          <w:p>
            <w:r>
              <w:t>Corpo</w:t>
            </w:r>
          </w:p>
        </w:tc>
        <w:tc>
          <w:tcPr>
            <w:tcW w:type="dxa" w:w="3264"/>
          </w:tcPr>
          <w:p>
            <w:r>
              <w:t>Inter / Aptos</w:t>
            </w:r>
          </w:p>
        </w:tc>
        <w:tc>
          <w:tcPr>
            <w:tcW w:type="dxa" w:w="3264"/>
          </w:tcPr>
          <w:p>
            <w:r>
              <w:t>Legibilidade em tamanhos pequenos</w:t>
            </w:r>
          </w:p>
        </w:tc>
      </w:tr>
      <w:tr>
        <w:tc>
          <w:tcPr>
            <w:tcW w:type="dxa" w:w="3264"/>
          </w:tcPr>
          <w:p>
            <w:r>
              <w:t>Indicadores</w:t>
            </w:r>
          </w:p>
        </w:tc>
        <w:tc>
          <w:tcPr>
            <w:tcW w:type="dxa" w:w="3264"/>
          </w:tcPr>
          <w:p>
            <w:r>
              <w:t>Inter SemiBold</w:t>
            </w:r>
          </w:p>
        </w:tc>
        <w:tc>
          <w:tcPr>
            <w:tcW w:type="dxa" w:w="3264"/>
          </w:tcPr>
          <w:p>
            <w:r>
              <w:t>Números tabulares e unidade separada</w:t>
            </w:r>
          </w:p>
        </w:tc>
      </w:tr>
      <w:tr>
        <w:tc>
          <w:tcPr>
            <w:tcW w:type="dxa" w:w="3264"/>
          </w:tcPr>
          <w:p>
            <w:r>
              <w:t>Legenda</w:t>
            </w:r>
          </w:p>
        </w:tc>
        <w:tc>
          <w:tcPr>
            <w:tcW w:type="dxa" w:w="3264"/>
          </w:tcPr>
          <w:p>
            <w:r>
              <w:t>Inter Regular</w:t>
            </w:r>
          </w:p>
        </w:tc>
        <w:tc>
          <w:tcPr>
            <w:tcW w:type="dxa" w:w="3264"/>
          </w:tcPr>
          <w:p>
            <w:r>
              <w:t>Evitar abaixo de 11 px no dashboard</w:t>
            </w:r>
          </w:p>
        </w:tc>
      </w:tr>
    </w:tbl>
    <w:p/>
    <w:p>
      <w:pPr>
        <w:pStyle w:val="Heading1"/>
      </w:pPr>
      <w:r>
        <w:t>06. Aplicação em Power BI e Fabric Apps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03D45"/>
          </w:tcPr>
          <w:p>
            <w:r>
              <w:t>Elemento</w:t>
            </w:r>
          </w:p>
        </w:tc>
        <w:tc>
          <w:tcPr>
            <w:tcW w:type="dxa" w:w="3264"/>
            <w:shd w:fill="103D45"/>
          </w:tcPr>
          <w:p>
            <w:r>
              <w:t>Fundo</w:t>
            </w:r>
          </w:p>
        </w:tc>
        <w:tc>
          <w:tcPr>
            <w:tcW w:type="dxa" w:w="3264"/>
            <w:shd w:fill="103D45"/>
          </w:tcPr>
          <w:p>
            <w:r>
              <w:t>Texto / destaque</w:t>
            </w:r>
          </w:p>
        </w:tc>
      </w:tr>
      <w:tr>
        <w:tc>
          <w:tcPr>
            <w:tcW w:type="dxa" w:w="3264"/>
          </w:tcPr>
          <w:p>
            <w:r>
              <w:t>Cabeçalho global</w:t>
            </w:r>
          </w:p>
        </w:tc>
        <w:tc>
          <w:tcPr>
            <w:tcW w:type="dxa" w:w="3264"/>
          </w:tcPr>
          <w:p>
            <w:r>
              <w:t>#103D45</w:t>
            </w:r>
          </w:p>
        </w:tc>
        <w:tc>
          <w:tcPr>
            <w:tcW w:type="dxa" w:w="3264"/>
          </w:tcPr>
          <w:p>
            <w:r>
              <w:t>#FFFFFF / #18B89F</w:t>
            </w:r>
          </w:p>
        </w:tc>
      </w:tr>
      <w:tr>
        <w:tc>
          <w:tcPr>
            <w:tcW w:type="dxa" w:w="3264"/>
          </w:tcPr>
          <w:p>
            <w:r>
              <w:t>Canvas</w:t>
            </w:r>
          </w:p>
        </w:tc>
        <w:tc>
          <w:tcPr>
            <w:tcW w:type="dxa" w:w="3264"/>
          </w:tcPr>
          <w:p>
            <w:r>
              <w:t>#F7FAF9</w:t>
            </w:r>
          </w:p>
        </w:tc>
        <w:tc>
          <w:tcPr>
            <w:tcW w:type="dxa" w:w="3264"/>
          </w:tcPr>
          <w:p>
            <w:r>
              <w:t>#26383B</w:t>
            </w:r>
          </w:p>
        </w:tc>
      </w:tr>
      <w:tr>
        <w:tc>
          <w:tcPr>
            <w:tcW w:type="dxa" w:w="3264"/>
          </w:tcPr>
          <w:p>
            <w:r>
              <w:t>Card KPI</w:t>
            </w:r>
          </w:p>
        </w:tc>
        <w:tc>
          <w:tcPr>
            <w:tcW w:type="dxa" w:w="3264"/>
          </w:tcPr>
          <w:p>
            <w:r>
              <w:t>#FFFFFF</w:t>
            </w:r>
          </w:p>
        </w:tc>
        <w:tc>
          <w:tcPr>
            <w:tcW w:type="dxa" w:w="3264"/>
          </w:tcPr>
          <w:p>
            <w:r>
              <w:t>#103D45</w:t>
            </w:r>
          </w:p>
        </w:tc>
      </w:tr>
      <w:tr>
        <w:tc>
          <w:tcPr>
            <w:tcW w:type="dxa" w:w="3264"/>
          </w:tcPr>
          <w:p>
            <w:r>
              <w:t>Card em destaque</w:t>
            </w:r>
          </w:p>
        </w:tc>
        <w:tc>
          <w:tcPr>
            <w:tcW w:type="dxa" w:w="3264"/>
          </w:tcPr>
          <w:p>
            <w:r>
              <w:t>#103D45</w:t>
            </w:r>
          </w:p>
        </w:tc>
        <w:tc>
          <w:tcPr>
            <w:tcW w:type="dxa" w:w="3264"/>
          </w:tcPr>
          <w:p>
            <w:r>
              <w:t>#FFFFFF</w:t>
            </w:r>
          </w:p>
        </w:tc>
      </w:tr>
      <w:tr>
        <w:tc>
          <w:tcPr>
            <w:tcW w:type="dxa" w:w="3264"/>
          </w:tcPr>
          <w:p>
            <w:r>
              <w:t>Seleção ativa</w:t>
            </w:r>
          </w:p>
        </w:tc>
        <w:tc>
          <w:tcPr>
            <w:tcW w:type="dxa" w:w="3264"/>
          </w:tcPr>
          <w:p>
            <w:r>
              <w:t>#DDF5EB</w:t>
            </w:r>
          </w:p>
        </w:tc>
        <w:tc>
          <w:tcPr>
            <w:tcW w:type="dxa" w:w="3264"/>
          </w:tcPr>
          <w:p>
            <w:r>
              <w:t>#103D45</w:t>
            </w:r>
          </w:p>
        </w:tc>
      </w:tr>
      <w:tr>
        <w:tc>
          <w:tcPr>
            <w:tcW w:type="dxa" w:w="3264"/>
          </w:tcPr>
          <w:p>
            <w:r>
              <w:t>Série principal</w:t>
            </w:r>
          </w:p>
        </w:tc>
        <w:tc>
          <w:tcPr>
            <w:tcW w:type="dxa" w:w="3264"/>
          </w:tcPr>
          <w:p>
            <w:r>
              <w:t>#18B89F</w:t>
            </w:r>
          </w:p>
        </w:tc>
        <w:tc>
          <w:tcPr>
            <w:tcW w:type="dxa" w:w="3264"/>
          </w:tcPr>
          <w:p>
            <w:r>
              <w:t>#103D45</w:t>
            </w:r>
          </w:p>
        </w:tc>
      </w:tr>
      <w:tr>
        <w:tc>
          <w:tcPr>
            <w:tcW w:type="dxa" w:w="3264"/>
          </w:tcPr>
          <w:p>
            <w:r>
              <w:t>Série comparativa</w:t>
            </w:r>
          </w:p>
        </w:tc>
        <w:tc>
          <w:tcPr>
            <w:tcW w:type="dxa" w:w="3264"/>
          </w:tcPr>
          <w:p>
            <w:r>
              <w:t>#71858A</w:t>
            </w:r>
          </w:p>
        </w:tc>
        <w:tc>
          <w:tcPr>
            <w:tcW w:type="dxa" w:w="3264"/>
          </w:tcPr>
          <w:p>
            <w:r>
              <w:t>#26383B</w:t>
            </w:r>
          </w:p>
        </w:tc>
      </w:tr>
      <w:tr>
        <w:tc>
          <w:tcPr>
            <w:tcW w:type="dxa" w:w="3264"/>
          </w:tcPr>
          <w:p>
            <w:r>
              <w:t>Alerta de atenção</w:t>
            </w:r>
          </w:p>
        </w:tc>
        <w:tc>
          <w:tcPr>
            <w:tcW w:type="dxa" w:w="3264"/>
          </w:tcPr>
          <w:p>
            <w:r>
              <w:t>#FFF2EC</w:t>
            </w:r>
          </w:p>
        </w:tc>
        <w:tc>
          <w:tcPr>
            <w:tcW w:type="dxa" w:w="3264"/>
          </w:tcPr>
          <w:p>
            <w:r>
              <w:t>#A34F39</w:t>
            </w:r>
          </w:p>
        </w:tc>
      </w:tr>
    </w:tbl>
    <w:p/>
    <w:p>
      <w:r>
        <w:rPr>
          <w:b w:val="0"/>
        </w:rPr>
        <w:t>HTML Content: cards de KPI, títulos e elementos decorativos com CSS discreto. Deneb: séries temporais, Pareto, ranking e comparativos com interação suportada. SVG: micrográficos e ícones. Navegação e filtros devem permanecer funcionais com controles nativos do Power BI quando necessário.</w:t>
      </w:r>
    </w:p>
    <w:p>
      <w:r>
        <w:rPr>
          <w:b w:val="0"/>
        </w:rPr>
        <w:t>Motion Analytics: preferir animações leves, com respeito a redução de movimento; não depender de JavaScript bloqueado nem prometer count-up/cross-filtering onde o visual não suportar.</w:t>
      </w:r>
    </w:p>
    <w:p>
      <w:pPr>
        <w:pStyle w:val="Heading1"/>
      </w:pPr>
      <w:r>
        <w:t>07. Regras de acessibilidade e dados</w:t>
      </w:r>
    </w:p>
    <w:p>
      <w:r>
        <w:rPr>
          <w:b w:val="0"/>
        </w:rPr>
        <w:t>Garantir contraste legível, estados de foco visíveis, rótulos em gráficos, indicação de unidades e distinção entre positivo/negativo por texto ou ícone. Testar contraste WCAG para cada combinação efetiva de texto e fundo.</w:t>
      </w:r>
    </w:p>
    <w:p>
      <w:r>
        <w:rPr>
          <w:b w:val="0"/>
        </w:rPr>
        <w:t>A base FarmaVitta é sintética. Dados, KPIs, preços e estabelecimentos devem ser identificados como fictícios em apresentações externas.</w:t>
      </w:r>
    </w:p>
    <w:p>
      <w:pPr>
        <w:pStyle w:val="Heading1"/>
      </w:pPr>
      <w:r>
        <w:t>08. Aplicações prioritárias</w:t>
      </w:r>
    </w:p>
    <w:p>
      <w:r>
        <w:rPr>
          <w:b w:val="0"/>
        </w:rPr>
        <w:t>Fachada: símbolo e lettering sobre superfície clara ou petróleo; sinalização legível à distância.</w:t>
      </w:r>
    </w:p>
    <w:p>
      <w:r>
        <w:rPr>
          <w:b w:val="0"/>
        </w:rPr>
        <w:t>Embalagens e uniformes: petróleo como base, turquesa como acento, assinatura institucional sem excesso de informação.</w:t>
      </w:r>
    </w:p>
    <w:p>
      <w:r>
        <w:rPr>
          <w:b w:val="0"/>
        </w:rPr>
        <w:t>Redes sociais: layouts com respiro, fotografia humanizada, títulos curtos e CTA consistente.</w:t>
      </w:r>
    </w:p>
    <w:p>
      <w:r>
        <w:rPr>
          <w:b w:val="0"/>
        </w:rPr>
        <w:t>Power BI: grade 16:9, navegação fixa, até 4–6 KPIs principais e no máximo 3 blocos analíticos dominantes por página.</w:t>
      </w:r>
    </w:p>
    <w:p>
      <w:pPr>
        <w:pStyle w:val="Heading1"/>
      </w:pPr>
      <w:r>
        <w:t>09. Governança</w:t>
      </w:r>
    </w:p>
    <w:p>
      <w:r>
        <w:rPr>
          <w:b w:val="0"/>
        </w:rPr>
        <w:t>Versão: 1.0. Responsável: projeto fictício FarmaVitta BI. Qualquer nova cor, versão de logo ou componente deve ser incluído neste manual antes de ser reutilizado.</w:t>
      </w:r>
    </w:p>
    <w:p>
      <w:r>
        <w:rPr>
          <w:b w:val="0"/>
        </w:rPr>
        <w:t>Antes de eventual uso comercial do nome, verificar disponibilidade e direitos marcários. Este material é um exercício de portfólio, sem vínculo com empresas reais homônimas.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D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5F6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