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 Residency Curriculum Mapping: Methodology Notes</w:t>
      </w:r>
    </w:p>
    <w:p>
      <w:r>
        <w:rPr>
          <w:b/>
          <w:bCs/>
        </w:rPr>
        <w:t xml:space="preserve">Document Date: </w:t>
      </w:r>
      <w:r>
        <w:t xml:space="preserve">February 2026</w:t>
      </w:r>
    </w:p>
    <w:p/>
    <w:p>
      <w:pPr>
        <w:pStyle w:val="Heading2"/>
      </w:pPr>
      <w:r>
        <w:t xml:space="preserve">Overview</w:t>
      </w:r>
    </w:p>
    <w:p>
      <w:pPr>
        <w:spacing w:after="120"/>
      </w:pPr>
      <w:r>
        <w:t xml:space="preserve">This document describes the methodology used to create the ITE-ABIM curriculum mapping spreadsheet. The mapping serves as a foundation for tracking where residents encounter educational content during their Internal Medicine training.</w:t>
      </w:r>
    </w:p>
    <w:p>
      <w:pPr>
        <w:pStyle w:val="Heading2"/>
      </w:pPr>
      <w:r>
        <w:t xml:space="preserve">Data Sources</w:t>
      </w:r>
    </w:p>
    <w:p>
      <w:pPr>
        <w:pStyle w:val="ListParagraph"/>
        <w:numPr>
          <w:ilvl w:val="0"/>
          <w:numId w:val="2"/>
        </w:numPr>
      </w:pPr>
      <w:r>
        <w:rPr>
          <w:b/>
          <w:bCs/>
        </w:rPr>
        <w:t xml:space="preserve">ABIM Internal Medicine Certification Examination Blueprint </w:t>
      </w:r>
      <w:r>
        <w:t xml:space="preserve">- Defines 18 content categories with percentage weights reflecting exam emphasis</w:t>
      </w:r>
    </w:p>
    <w:p>
      <w:pPr>
        <w:pStyle w:val="ListParagraph"/>
        <w:numPr>
          <w:ilvl w:val="0"/>
          <w:numId w:val="2"/>
        </w:numPr>
      </w:pPr>
      <w:r>
        <w:rPr>
          <w:b/>
          <w:bCs/>
        </w:rPr>
        <w:t xml:space="preserve">2024 ACP Internal Training Examination Educational Objectives </w:t>
      </w:r>
      <w:r>
        <w:t xml:space="preserve">- 260 objectives across 11 content areas</w:t>
      </w:r>
    </w:p>
    <w:p>
      <w:pPr>
        <w:pStyle w:val="ListParagraph"/>
        <w:numPr>
          <w:ilvl w:val="0"/>
          <w:numId w:val="2"/>
        </w:numPr>
      </w:pPr>
      <w:r>
        <w:rPr>
          <w:b/>
          <w:bCs/>
        </w:rPr>
        <w:t xml:space="preserve">2025 ACP Internal Training Examination Educational Objectives </w:t>
      </w:r>
      <w:r>
        <w:t xml:space="preserve">- 259 objectives across 11 content areas</w:t>
      </w:r>
    </w:p>
    <w:p/>
    <w:p>
      <w:pPr>
        <w:pStyle w:val="Heading2"/>
      </w:pPr>
      <w:r>
        <w:t xml:space="preserve">Key Mapping Decisions</w:t>
      </w:r>
    </w:p>
    <w:p>
      <w:pPr>
        <w:pStyle w:val="Heading3"/>
      </w:pPr>
      <w:r>
        <w:t xml:space="preserve">1. Primary Categorization: ABIM Blueprint</w:t>
      </w:r>
    </w:p>
    <w:p>
      <w:pPr>
        <w:spacing w:after="120"/>
      </w:pPr>
      <w:r>
        <w:t xml:space="preserve">The ABIM certification exam blueprint was selected as the primary organizing framework because it represents the endpoint standard that residents must master. ITE objectives are mapped TO ABIM categories, not vice versa. This approach ensures curriculum planning aligns with certification requirements.</w:t>
      </w:r>
    </w:p>
    <w:p>
      <w:pPr>
        <w:pStyle w:val="Heading3"/>
      </w:pPr>
      <w:r>
        <w:t xml:space="preserve">2. Category Alignment Challenges</w:t>
      </w:r>
    </w:p>
    <w:p>
      <w:pPr>
        <w:spacing w:after="80"/>
      </w:pPr>
      <w:r>
        <w:t xml:space="preserve">The ITE and ABIM use different category structures that required careful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ITE Category</w:t>
            </w:r>
          </w:p>
        </w:tc>
        <w:tc>
          <w:tcPr>
            <w:tcW w:type="dxa" w:w="3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ABIM Category</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ABIM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Hematology and Oncology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Hematology / Medical Oncology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 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Internal Medicine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categories*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w:t>
            </w:r>
          </w:p>
        </w:tc>
      </w:tr>
    </w:tbl>
    <w:p>
      <w:pPr>
        <w:spacing w:before="80" w:after="120"/>
      </w:pPr>
      <w:r>
        <w:rPr>
          <w:i/>
          <w:iCs/>
        </w:rPr>
        <w:t xml:space="preserve">*General Internal Medicine objectives mapped to: </w:t>
      </w:r>
      <w:r>
        <w:rPr>
          <w:i/>
          <w:iCs/>
        </w:rPr>
        <w:t xml:space="preserve">Allergy/Immunology, Dermatology, Ophthalmology, Otolaryngology/Dental, Psychiatry, Women's Health, Geriatric Medicine, Palliative Care, Perioperative Medicine, based on keyword matching.</w:t>
      </w:r>
    </w:p>
    <w:p>
      <w:pPr>
        <w:pStyle w:val="Heading3"/>
      </w:pPr>
      <w:r>
        <w:t xml:space="preserve">3. ITE Year Inclusion</w:t>
      </w:r>
    </w:p>
    <w:p>
      <w:pPr>
        <w:spacing w:after="120"/>
      </w:pPr>
      <w:r>
        <w:t xml:space="preserve">Both 2024 and 2025 ITE objectives are included with a "Year" column indicating which exam(s) include each objective. This allows tracking of year-over-year changes and ensures comprehensive coverage. The spreadsheet contains 449 total objectives: 190 unique to 2024, 189 unique to 2025, and 70 appearing in both years.</w:t>
      </w:r>
    </w:p>
    <w:p>
      <w:pPr>
        <w:pStyle w:val="Heading3"/>
      </w:pPr>
      <w:r>
        <w:t xml:space="preserve">4. High Value Care (HVC) Tracking</w:t>
      </w:r>
    </w:p>
    <w:p>
      <w:pPr>
        <w:spacing w:after="120"/>
      </w:pPr>
      <w:r>
        <w:t xml:space="preserve">Items marked with ** in the ITE documents indicate High Value Care content. The spreadsheet includes both a dedicated "HVC?" column (Yes/No) in the main mapping and a separate "HVC Summary" tab with all 113 HVC items highlighted for focused review.</w:t>
      </w:r>
    </w:p>
    <w:p>
      <w:pPr>
        <w:pStyle w:val="Heading2"/>
      </w:pPr>
      <w:r>
        <w:t xml:space="preserve">Mapping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Metric</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Count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Educational Objectives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Value Care 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 Only Objectives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 Only Objectives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ABIM Categories Covered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r>
    </w:tbl>
    <w:p/>
    <w:p>
      <w:pPr>
        <w:pStyle w:val="Heading2"/>
      </w:pPr>
      <w:r>
        <w:t xml:space="preserve">Recommendations for Next Steps</w:t>
      </w:r>
    </w:p>
    <w:p>
      <w:pPr>
        <w:pStyle w:val="Heading3"/>
      </w:pPr>
      <w:r>
        <w:t xml:space="preserve">Phase 1: Validate the Mapping (Week 1-2)</w:t>
      </w:r>
    </w:p>
    <w:p>
      <w:pPr>
        <w:pStyle w:val="ListParagraph"/>
        <w:numPr>
          <w:ilvl w:val="0"/>
          <w:numId w:val="3"/>
        </w:numPr>
      </w:pPr>
      <w:r>
        <w:t xml:space="preserve">Review a sample of objectives in each ABIM category to verify appropriate placement</w:t>
      </w:r>
    </w:p>
    <w:p>
      <w:pPr>
        <w:pStyle w:val="ListParagraph"/>
        <w:numPr>
          <w:ilvl w:val="0"/>
          <w:numId w:val="3"/>
        </w:numPr>
      </w:pPr>
      <w:r>
        <w:t xml:space="preserve">Pay special attention to "General Internal Medicine" mappings which required keyword-based assignment</w:t>
      </w:r>
    </w:p>
    <w:p>
      <w:pPr>
        <w:pStyle w:val="ListParagraph"/>
        <w:numPr>
          <w:ilvl w:val="0"/>
          <w:numId w:val="3"/>
        </w:numPr>
      </w:pPr>
      <w:r>
        <w:t xml:space="preserve">Use the "Mapping Notes" column to document any corrections or refinements</w:t>
      </w:r>
    </w:p>
    <w:p/>
    <w:p>
      <w:pPr>
        <w:pStyle w:val="Heading3"/>
      </w:pPr>
      <w:r>
        <w:t xml:space="preserve">Phase 2: Map Clinical Rotations (Week 3-4)</w:t>
      </w:r>
    </w:p>
    <w:p>
      <w:pPr>
        <w:pStyle w:val="ListParagraph"/>
        <w:numPr>
          <w:ilvl w:val="0"/>
          <w:numId w:val="3"/>
        </w:numPr>
      </w:pPr>
      <w:r>
        <w:t xml:space="preserve">Start with inpatient rotations (Wards, CCU, MICU) as these cover the broadest content</w:t>
      </w:r>
    </w:p>
    <w:p>
      <w:pPr>
        <w:pStyle w:val="ListParagraph"/>
        <w:numPr>
          <w:ilvl w:val="0"/>
          <w:numId w:val="3"/>
        </w:numPr>
      </w:pPr>
      <w:r>
        <w:t xml:space="preserve">For each rotation, mark objectives as "Primary" (core focus), "Secondary" (frequently encountered), or "Exposure" (occasional)</w:t>
      </w:r>
    </w:p>
    <w:p>
      <w:pPr>
        <w:pStyle w:val="ListParagraph"/>
        <w:numPr>
          <w:ilvl w:val="0"/>
          <w:numId w:val="3"/>
        </w:numPr>
      </w:pPr>
      <w:r>
        <w:t xml:space="preserve">Consider involving rotation directors in validating their rotation mappings</w:t>
      </w:r>
    </w:p>
    <w:p/>
    <w:p>
      <w:pPr>
        <w:pStyle w:val="Heading3"/>
      </w:pPr>
      <w:r>
        <w:t xml:space="preserve">Phase 3: Map Didactic Sessions (Week 5-6)</w:t>
      </w:r>
    </w:p>
    <w:p>
      <w:pPr>
        <w:pStyle w:val="ListParagraph"/>
        <w:numPr>
          <w:ilvl w:val="0"/>
          <w:numId w:val="3"/>
        </w:numPr>
      </w:pPr>
      <w:r>
        <w:t xml:space="preserve">Align existing lecture schedules with ITE objectives</w:t>
      </w:r>
    </w:p>
    <w:p>
      <w:pPr>
        <w:pStyle w:val="ListParagraph"/>
        <w:numPr>
          <w:ilvl w:val="0"/>
          <w:numId w:val="3"/>
        </w:numPr>
      </w:pPr>
      <w:r>
        <w:t xml:space="preserve">Identify objectives with no didactic coverage (curriculum gaps)</w:t>
      </w:r>
    </w:p>
    <w:p>
      <w:pPr>
        <w:pStyle w:val="ListParagraph"/>
        <w:numPr>
          <w:ilvl w:val="0"/>
          <w:numId w:val="3"/>
        </w:numPr>
      </w:pPr>
      <w:r>
        <w:t xml:space="preserve">Prioritize HVC items for dedicated educational sessions</w:t>
      </w:r>
    </w:p>
    <w:p/>
    <w:p>
      <w:pPr>
        <w:pStyle w:val="Heading3"/>
      </w:pPr>
      <w:r>
        <w:t xml:space="preserve">Phase 4: Gap Analysis (Week 7-8)</w:t>
      </w:r>
    </w:p>
    <w:p>
      <w:pPr>
        <w:pStyle w:val="ListParagraph"/>
        <w:numPr>
          <w:ilvl w:val="0"/>
          <w:numId w:val="3"/>
        </w:numPr>
      </w:pPr>
      <w:r>
        <w:t xml:space="preserve">Generate a coverage score for each objective based on rotation + didactic exposure</w:t>
      </w:r>
    </w:p>
    <w:p>
      <w:pPr>
        <w:pStyle w:val="ListParagraph"/>
        <w:numPr>
          <w:ilvl w:val="0"/>
          <w:numId w:val="3"/>
        </w:numPr>
      </w:pPr>
      <w:r>
        <w:t xml:space="preserve">Identify high-weight ABIM categories with low coverage scores</w:t>
      </w:r>
    </w:p>
    <w:p>
      <w:pPr>
        <w:pStyle w:val="ListParagraph"/>
        <w:numPr>
          <w:ilvl w:val="0"/>
          <w:numId w:val="3"/>
        </w:numPr>
      </w:pPr>
      <w:r>
        <w:t xml:space="preserve">Develop targeted interventions for gaps (simulation, focused workshops, board review)</w:t>
      </w:r>
    </w:p>
    <w:p/>
    <w:p>
      <w:pPr>
        <w:pStyle w:val="Heading2"/>
      </w:pPr>
      <w:r>
        <w:t xml:space="preserve">Spreadsheet Structure Reference</w:t>
      </w:r>
    </w:p>
    <w:p>
      <w:pPr>
        <w:spacing w:after="80"/>
      </w:pPr>
      <w:r>
        <w:rPr>
          <w:b/>
          <w:bCs/>
        </w:rPr>
        <w:t xml:space="preserve">ITE-ABIM Mapping (Main Sheet)</w:t>
      </w:r>
    </w:p>
    <w:p>
      <w:pPr>
        <w:pStyle w:val="ListParagraph"/>
        <w:numPr>
          <w:ilvl w:val="0"/>
          <w:numId w:val="2"/>
        </w:numPr>
      </w:pPr>
      <w:r>
        <w:rPr>
          <w:b/>
          <w:bCs/>
        </w:rPr>
        <w:t xml:space="preserve">Columns A-H: </w:t>
      </w:r>
      <w:r>
        <w:t xml:space="preserve">Core mapping data (Row ID, ABIM Category, ABIM %, ITE Category, Educational Objective, HVC?, ITE Year, Mapping Notes)</w:t>
      </w:r>
    </w:p>
    <w:p>
      <w:pPr>
        <w:pStyle w:val="ListParagraph"/>
        <w:numPr>
          <w:ilvl w:val="0"/>
          <w:numId w:val="2"/>
        </w:numPr>
      </w:pPr>
      <w:r>
        <w:rPr>
          <w:b/>
          <w:bCs/>
        </w:rPr>
        <w:t xml:space="preserve">Columns I-O: </w:t>
      </w:r>
      <w:r>
        <w:t xml:space="preserve">Clinical rotation placeholders (Wards, CCU, MICU, Ambulatory, Consults, Night Float, Electives)</w:t>
      </w:r>
    </w:p>
    <w:p>
      <w:pPr>
        <w:pStyle w:val="ListParagraph"/>
        <w:numPr>
          <w:ilvl w:val="0"/>
          <w:numId w:val="2"/>
        </w:numPr>
      </w:pPr>
      <w:r>
        <w:rPr>
          <w:b/>
          <w:bCs/>
        </w:rPr>
        <w:t xml:space="preserve">Columns P-S: </w:t>
      </w:r>
      <w:r>
        <w:t xml:space="preserve">Didactic/simulation placeholders (Morning Report, Noon Conference, Grand Rounds, Board Review)</w:t>
      </w:r>
    </w:p>
    <w:p>
      <w:pPr>
        <w:pStyle w:val="ListParagraph"/>
        <w:numPr>
          <w:ilvl w:val="0"/>
          <w:numId w:val="2"/>
        </w:numPr>
      </w:pPr>
      <w:r>
        <w:rPr>
          <w:b/>
          <w:bCs/>
        </w:rPr>
        <w:t xml:space="preserve">Columns T-U: </w:t>
      </w:r>
      <w:r>
        <w:t xml:space="preserve">Skills training (Simulation, Procedures Lab)</w:t>
      </w:r>
    </w:p>
    <w:p>
      <w:pPr>
        <w:pStyle w:val="ListParagraph"/>
        <w:numPr>
          <w:ilvl w:val="0"/>
          <w:numId w:val="2"/>
        </w:numPr>
      </w:pPr>
      <w:r>
        <w:rPr>
          <w:b/>
          <w:bCs/>
        </w:rPr>
        <w:t xml:space="preserve">Columns V-X: </w:t>
      </w:r>
      <w:r>
        <w:t xml:space="preserve">PGY level tracking</w:t>
      </w:r>
    </w:p>
    <w:p>
      <w:pPr>
        <w:pStyle w:val="ListParagraph"/>
        <w:numPr>
          <w:ilvl w:val="0"/>
          <w:numId w:val="2"/>
        </w:numPr>
      </w:pPr>
      <w:r>
        <w:rPr>
          <w:b/>
          <w:bCs/>
        </w:rPr>
        <w:t xml:space="preserve">Columns Y-Z: </w:t>
      </w:r>
      <w:r>
        <w:t xml:space="preserve">Coverage Score and Notes</w:t>
      </w:r>
    </w:p>
    <w:p/>
    <w:p>
      <w:pPr>
        <w:spacing w:after="80"/>
      </w:pPr>
      <w:r>
        <w:rPr>
          <w:b/>
          <w:bCs/>
        </w:rPr>
        <w:t xml:space="preserve">HVC Summary (Tab 2)</w:t>
      </w:r>
    </w:p>
    <w:p>
      <w:pPr>
        <w:pStyle w:val="ListParagraph"/>
        <w:numPr>
          <w:ilvl w:val="0"/>
          <w:numId w:val="2"/>
        </w:numPr>
      </w:pPr>
      <w:r>
        <w:t xml:space="preserve">Filtered view of all 113 High Value Care objectives</w:t>
      </w:r>
    </w:p>
    <w:p>
      <w:pPr>
        <w:pStyle w:val="ListParagraph"/>
        <w:numPr>
          <w:ilvl w:val="0"/>
          <w:numId w:val="2"/>
        </w:numPr>
      </w:pPr>
      <w:r>
        <w:t xml:space="preserve">Yellow highlighting for visual identification</w:t>
      </w:r>
    </w:p>
    <w:p/>
    <w:p>
      <w:pPr>
        <w:spacing w:after="80"/>
      </w:pPr>
      <w:r>
        <w:rPr>
          <w:b/>
          <w:bCs/>
        </w:rPr>
        <w:t xml:space="preserve">ABIM Blueprint (Tab 3)</w:t>
      </w:r>
    </w:p>
    <w:p>
      <w:pPr>
        <w:pStyle w:val="ListParagraph"/>
        <w:numPr>
          <w:ilvl w:val="0"/>
          <w:numId w:val="2"/>
        </w:numPr>
      </w:pPr>
      <w:r>
        <w:t xml:space="preserve">Reference table of all 18 ABIM categories with percentage weights</w:t>
      </w:r>
    </w:p>
    <w:p>
      <w:pPr>
        <w:pStyle w:val="ListParagraph"/>
        <w:numPr>
          <w:ilvl w:val="0"/>
          <w:numId w:val="2"/>
        </w:numPr>
      </w:pPr>
      <w:r>
        <w:t xml:space="preserve">Shows ITE category mapping for each ABIM category</w:t>
      </w:r>
    </w:p>
    <w:p/>
    <w:p>
      <w:pPr>
        <w:pStyle w:val="Heading2"/>
      </w:pPr>
      <w:r>
        <w:t xml:space="preserve">Limitations and Considerations</w:t>
      </w:r>
    </w:p>
    <w:p>
      <w:pPr>
        <w:pStyle w:val="ListParagraph"/>
        <w:numPr>
          <w:ilvl w:val="0"/>
          <w:numId w:val="2"/>
        </w:numPr>
      </w:pPr>
      <w:r>
        <w:t xml:space="preserve">The "General Internal Medicine" to ABIM mapping uses keyword matching and may require manual review for accuracy</w:t>
      </w:r>
    </w:p>
    <w:p>
      <w:pPr>
        <w:pStyle w:val="ListParagraph"/>
        <w:numPr>
          <w:ilvl w:val="0"/>
          <w:numId w:val="2"/>
        </w:numPr>
      </w:pPr>
      <w:r>
        <w:t xml:space="preserve">Hematology and Oncology objectives are grouped together as in the ITE; individual subspecialty assignment would require manual curation</w:t>
      </w:r>
    </w:p>
    <w:p>
      <w:pPr>
        <w:pStyle w:val="ListParagraph"/>
        <w:numPr>
          <w:ilvl w:val="0"/>
          <w:numId w:val="2"/>
        </w:numPr>
      </w:pPr>
      <w:r>
        <w:t xml:space="preserve">ITE objectives are updated annually; this mapping should be refreshed when new objectives are released</w:t>
      </w:r>
    </w:p>
    <w:p>
      <w:pPr>
        <w:pStyle w:val="ListParagraph"/>
        <w:numPr>
          <w:ilvl w:val="0"/>
          <w:numId w:val="2"/>
        </w:numPr>
      </w:pPr>
      <w:r>
        <w:t xml:space="preserve">The ABIM blueprint percentages reflect exam weighting, not necessarily clinical importance or time spent in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2026-02-03T16:33:53.203Z</dcterms:created>
  <dcterms:modified xsi:type="dcterms:W3CDTF">2026-02-03T16:33:53.203Z</dcterms:modified>
</cp:coreProperties>
</file>

<file path=docProps/custom.xml><?xml version="1.0" encoding="utf-8"?>
<Properties xmlns="http://schemas.openxmlformats.org/officeDocument/2006/custom-properties" xmlns:vt="http://schemas.openxmlformats.org/officeDocument/2006/docPropsVTypes"/>
</file>