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8E1FA">
      <w:pPr>
        <w:bidi w:val="0"/>
        <w:jc w:val="center"/>
        <w:rPr>
          <w:rFonts w:hint="eastAsia"/>
          <w:b/>
          <w:bCs/>
          <w:sz w:val="28"/>
          <w:szCs w:val="28"/>
          <w:lang w:val="en-US" w:eastAsia="zh-CN"/>
        </w:rPr>
      </w:pPr>
      <w:r>
        <w:rPr>
          <w:rFonts w:hint="eastAsia"/>
          <w:b/>
          <w:bCs/>
          <w:sz w:val="28"/>
          <w:szCs w:val="28"/>
          <w:lang w:val="en-US" w:eastAsia="zh-CN"/>
        </w:rPr>
        <w:t>Revitalizing Nanjing Yunjin Brocade through AI, Digital Twins, Immersive Learning, and Community Participation: A Digital Heritage Ecosystem Approach to Intangible Cultural Heritage Preservation</w:t>
      </w:r>
    </w:p>
    <w:p w14:paraId="3DCCF4ED">
      <w:pPr>
        <w:bidi w:val="0"/>
        <w:jc w:val="both"/>
        <w:rPr>
          <w:rFonts w:hint="eastAsia"/>
          <w:b/>
          <w:bCs/>
          <w:sz w:val="28"/>
          <w:szCs w:val="28"/>
          <w:lang w:val="en-US" w:eastAsia="zh-CN"/>
        </w:rPr>
      </w:pPr>
    </w:p>
    <w:p w14:paraId="7F5A1A1D">
      <w:pPr>
        <w:pStyle w:val="2"/>
        <w:bidi w:val="0"/>
        <w:jc w:val="center"/>
        <w:rPr>
          <w:rFonts w:hint="default"/>
          <w:lang w:val="en-US" w:eastAsia="zh-CN"/>
        </w:rPr>
      </w:pPr>
      <w:bookmarkStart w:id="0" w:name="_Toc29246"/>
      <w:r>
        <w:rPr>
          <w:rFonts w:hint="eastAsia"/>
          <w:lang w:val="en-US" w:eastAsia="zh-CN"/>
        </w:rPr>
        <w:t>Abstract</w:t>
      </w:r>
      <w:bookmarkEnd w:id="0"/>
    </w:p>
    <w:p w14:paraId="7A9BA66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Intangible Cultural Heritage (ICH)</w:t>
      </w:r>
      <w:r>
        <w:rPr>
          <w:rFonts w:hint="eastAsia"/>
          <w:lang w:val="en-US" w:eastAsia="zh-CN"/>
        </w:rPr>
        <w:t xml:space="preserve"> </w:t>
      </w:r>
      <w:bookmarkStart w:id="64" w:name="_GoBack"/>
      <w:bookmarkEnd w:id="64"/>
      <w:r>
        <w:rPr>
          <w:rFonts w:hint="eastAsia"/>
        </w:rPr>
        <w:t xml:space="preserve">faces mounting challenges from urbanization, demographic change, and declining participation among younger generations. Although other countries have piloted various digital approaches, existing efforts have concentrated mainly on digital archiving rather than on sustaining long-term cultural transmission. Taking Nanjing Yunjin brocade as a representative case, this study examines how emerging technologies can support sustainable heritage transmission. A research design combining literature review, comparative analysis, and case study is adopted to examine current international practices </w:t>
      </w:r>
      <w:r>
        <w:rPr>
          <w:rFonts w:hint="eastAsia"/>
          <w:lang w:val="en-US" w:eastAsia="zh-CN"/>
        </w:rPr>
        <w:t>including Japan</w:t>
      </w:r>
      <w:r>
        <w:rPr>
          <w:rFonts w:hint="default"/>
          <w:lang w:val="en-US" w:eastAsia="zh-CN"/>
        </w:rPr>
        <w:t>’</w:t>
      </w:r>
      <w:r>
        <w:rPr>
          <w:rFonts w:hint="eastAsia"/>
          <w:lang w:val="en-US" w:eastAsia="zh-CN"/>
        </w:rPr>
        <w:t>s master-apprentice model, European digital restoration efforts, and UNESCO</w:t>
      </w:r>
      <w:r>
        <w:rPr>
          <w:rFonts w:hint="default"/>
          <w:lang w:val="en-US" w:eastAsia="zh-CN"/>
        </w:rPr>
        <w:t>’</w:t>
      </w:r>
      <w:r>
        <w:rPr>
          <w:rFonts w:hint="eastAsia"/>
          <w:lang w:val="en-US" w:eastAsia="zh-CN"/>
        </w:rPr>
        <w:t xml:space="preserve">s online archiving initiatives, </w:t>
      </w:r>
      <w:r>
        <w:rPr>
          <w:rFonts w:hint="eastAsia"/>
        </w:rPr>
        <w:t xml:space="preserve">and </w:t>
      </w:r>
      <w:r>
        <w:rPr>
          <w:rFonts w:hint="eastAsia"/>
          <w:lang w:val="en-US" w:eastAsia="zh-CN"/>
        </w:rPr>
        <w:t xml:space="preserve">to </w:t>
      </w:r>
      <w:r>
        <w:rPr>
          <w:rFonts w:hint="eastAsia"/>
        </w:rPr>
        <w:t xml:space="preserve">identify existing research gaps. </w:t>
      </w:r>
      <w:r>
        <w:rPr>
          <w:rFonts w:hint="eastAsia"/>
          <w:lang w:val="en-US" w:eastAsia="zh-CN"/>
        </w:rPr>
        <w:t xml:space="preserve">The comparative analysis and case study suggest that current approaches remain preservation-oriented, offer limited interactive experiences, and insufficiently involve local communities and practitioners, all of which constrain youth engagement and long-term sustainability. </w:t>
      </w:r>
      <w:r>
        <w:rPr>
          <w:rFonts w:hint="eastAsia"/>
        </w:rPr>
        <w:t>Building on these findings, the study proposes a Digital Heritage Ecosystem that integrates artificial intelligence, digital twin technology, immersive learning, and community participation into a unified framework. This framework moves beyond current preservation and display practices, transforming traditional craftsmanship into a living, interactive cultural resource that more actively engages and motivates younger generations to participate in heritage transmission. Unlike prior single-technology solutions, the proposed ecosystem emphasizes the integration of multiple technologies with social participation, offering both theoretical contributions to digital heritage research and a practical, replicable model for cultural institutions.</w:t>
      </w:r>
      <w:r>
        <w:rPr>
          <w:rFonts w:hint="eastAsia"/>
          <w:lang w:val="en-US" w:eastAsia="zh-CN"/>
        </w:rPr>
        <w:t xml:space="preserve"> </w:t>
      </w:r>
      <w:r>
        <w:rPr>
          <w:rFonts w:hint="eastAsia"/>
        </w:rPr>
        <w:t>The study argues that this integrated Chinese solution offers a scalable approach to safeguarding intangible cultural heritage while balancing cultural authenticity with technological innovation, and that the proposed framework may offer valuable insights for revitalizing traditional crafts both domestically and in other cultural contexts worldwide.</w:t>
      </w:r>
    </w:p>
    <w:p w14:paraId="185F47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3685A158">
      <w:pPr>
        <w:bidi w:val="0"/>
        <w:rPr>
          <w:rFonts w:hint="eastAsia"/>
        </w:rPr>
      </w:pPr>
      <w:r>
        <w:rPr>
          <w:rFonts w:hint="eastAsia"/>
          <w:b/>
          <w:bCs/>
        </w:rPr>
        <w:t>Keywords:</w:t>
      </w:r>
      <w:r>
        <w:rPr>
          <w:rFonts w:hint="eastAsia"/>
          <w:b/>
          <w:bCs/>
          <w:lang w:val="en-US" w:eastAsia="zh-CN"/>
        </w:rPr>
        <w:t xml:space="preserve"> </w:t>
      </w:r>
      <w:r>
        <w:rPr>
          <w:rFonts w:hint="eastAsia"/>
        </w:rPr>
        <w:t>Intangible</w:t>
      </w:r>
      <w:r>
        <w:rPr>
          <w:rFonts w:hint="eastAsia"/>
          <w:lang w:val="en-US" w:eastAsia="zh-CN"/>
        </w:rPr>
        <w:t xml:space="preserve"> </w:t>
      </w:r>
      <w:r>
        <w:rPr>
          <w:rFonts w:hint="eastAsia"/>
        </w:rPr>
        <w:t>Cultural Heritage,Nanjing Yunjin Brocade,</w:t>
      </w:r>
      <w:r>
        <w:rPr>
          <w:rFonts w:hint="eastAsia"/>
          <w:lang w:val="en-US" w:eastAsia="zh-CN"/>
        </w:rPr>
        <w:t xml:space="preserve"> </w:t>
      </w:r>
      <w:r>
        <w:rPr>
          <w:rFonts w:hint="eastAsia"/>
        </w:rPr>
        <w:t>Digital Heritage Ecosystem,</w:t>
      </w:r>
      <w:r>
        <w:rPr>
          <w:rFonts w:hint="eastAsia"/>
          <w:lang w:val="en-US" w:eastAsia="zh-CN"/>
        </w:rPr>
        <w:t xml:space="preserve"> </w:t>
      </w:r>
      <w:r>
        <w:rPr>
          <w:rFonts w:hint="eastAsia"/>
        </w:rPr>
        <w:t>Digital Technology</w:t>
      </w:r>
    </w:p>
    <w:p w14:paraId="24604489">
      <w:pPr>
        <w:rPr>
          <w:rFonts w:hint="eastAsia"/>
        </w:rPr>
      </w:pPr>
      <w:r>
        <w:rPr>
          <w:rFonts w:hint="eastAsia"/>
        </w:rPr>
        <w:br w:type="page"/>
      </w:r>
    </w:p>
    <w:sdt>
      <w:sdtPr>
        <w:rPr>
          <w:rFonts w:hint="default" w:ascii="Times New Roman" w:hAnsi="Times New Roman" w:eastAsia="宋体" w:cs="Times New Roman"/>
          <w:b/>
          <w:bCs/>
          <w:kern w:val="2"/>
          <w:sz w:val="28"/>
          <w:szCs w:val="28"/>
          <w:lang w:val="en-US" w:eastAsia="zh-CN" w:bidi="ar-SA"/>
        </w:rPr>
        <w:id w:val="147463010"/>
        <w15:color w:val="DBDBDB"/>
        <w:docPartObj>
          <w:docPartGallery w:val="Table of Contents"/>
          <w:docPartUnique/>
        </w:docPartObj>
      </w:sdtPr>
      <w:sdtEndPr>
        <w:rPr>
          <w:rFonts w:hint="eastAsia" w:ascii="Times New Roman" w:hAnsi="Times New Roman" w:eastAsiaTheme="minorEastAsia" w:cstheme="minorBidi"/>
          <w:b/>
          <w:bCs/>
          <w:kern w:val="2"/>
          <w:sz w:val="24"/>
          <w:szCs w:val="24"/>
          <w:lang w:val="en-US" w:eastAsia="zh-CN" w:bidi="ar-SA"/>
        </w:rPr>
      </w:sdtEndPr>
      <w:sdtContent>
        <w:p w14:paraId="44FD1B9D">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en-US"/>
            </w:rPr>
          </w:pPr>
          <w:r>
            <w:rPr>
              <w:rFonts w:hint="default" w:ascii="Times New Roman" w:hAnsi="Times New Roman" w:eastAsia="宋体" w:cs="Times New Roman"/>
              <w:b/>
              <w:bCs/>
              <w:kern w:val="2"/>
              <w:sz w:val="28"/>
              <w:szCs w:val="28"/>
              <w:lang w:val="en-US" w:eastAsia="zh-CN" w:bidi="ar-SA"/>
            </w:rPr>
            <w:t>Contents</w:t>
          </w:r>
        </w:p>
        <w:p w14:paraId="765A421E">
          <w:pPr>
            <w:pStyle w:val="10"/>
            <w:tabs>
              <w:tab w:val="right" w:leader="dot" w:pos="902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_Toc29246 </w:instrText>
          </w:r>
          <w:r>
            <w:rPr>
              <w:rFonts w:hint="eastAsia"/>
            </w:rPr>
            <w:fldChar w:fldCharType="separate"/>
          </w:r>
          <w:r>
            <w:rPr>
              <w:rFonts w:hint="eastAsia"/>
              <w:lang w:val="en-US" w:eastAsia="zh-CN"/>
            </w:rPr>
            <w:t>Abstract</w:t>
          </w:r>
          <w:r>
            <w:tab/>
          </w:r>
          <w:r>
            <w:fldChar w:fldCharType="begin"/>
          </w:r>
          <w:r>
            <w:instrText xml:space="preserve"> PAGEREF _Toc29246 \h </w:instrText>
          </w:r>
          <w:r>
            <w:fldChar w:fldCharType="separate"/>
          </w:r>
          <w:r>
            <w:t>I</w:t>
          </w:r>
          <w:r>
            <w:fldChar w:fldCharType="end"/>
          </w:r>
          <w:r>
            <w:rPr>
              <w:rFonts w:hint="eastAsia"/>
            </w:rPr>
            <w:fldChar w:fldCharType="end"/>
          </w:r>
        </w:p>
        <w:p w14:paraId="3741BA55">
          <w:pPr>
            <w:pStyle w:val="10"/>
            <w:tabs>
              <w:tab w:val="right" w:leader="dot" w:pos="9026"/>
            </w:tabs>
          </w:pPr>
          <w:r>
            <w:rPr>
              <w:rFonts w:hint="eastAsia"/>
            </w:rPr>
            <w:fldChar w:fldCharType="begin"/>
          </w:r>
          <w:r>
            <w:rPr>
              <w:rFonts w:hint="eastAsia"/>
            </w:rPr>
            <w:instrText xml:space="preserve"> HYPERLINK \l _Toc7283 </w:instrText>
          </w:r>
          <w:r>
            <w:rPr>
              <w:rFonts w:hint="eastAsia"/>
            </w:rPr>
            <w:fldChar w:fldCharType="separate"/>
          </w:r>
          <w:r>
            <w:rPr>
              <w:rFonts w:hint="eastAsia"/>
              <w:lang w:val="en-US" w:eastAsia="zh-CN"/>
            </w:rPr>
            <w:t>1. Introduction</w:t>
          </w:r>
          <w:r>
            <w:tab/>
          </w:r>
          <w:r>
            <w:fldChar w:fldCharType="begin"/>
          </w:r>
          <w:r>
            <w:instrText xml:space="preserve"> PAGEREF _Toc7283 \h </w:instrText>
          </w:r>
          <w:r>
            <w:fldChar w:fldCharType="separate"/>
          </w:r>
          <w:r>
            <w:t>1</w:t>
          </w:r>
          <w:r>
            <w:fldChar w:fldCharType="end"/>
          </w:r>
          <w:r>
            <w:rPr>
              <w:rFonts w:hint="eastAsia"/>
            </w:rPr>
            <w:fldChar w:fldCharType="end"/>
          </w:r>
        </w:p>
        <w:p w14:paraId="6AD10C93">
          <w:pPr>
            <w:pStyle w:val="11"/>
            <w:tabs>
              <w:tab w:val="right" w:leader="dot" w:pos="9026"/>
            </w:tabs>
          </w:pPr>
          <w:r>
            <w:rPr>
              <w:rFonts w:hint="eastAsia"/>
            </w:rPr>
            <w:fldChar w:fldCharType="begin"/>
          </w:r>
          <w:r>
            <w:rPr>
              <w:rFonts w:hint="eastAsia"/>
            </w:rPr>
            <w:instrText xml:space="preserve"> HYPERLINK \l _Toc21526 </w:instrText>
          </w:r>
          <w:r>
            <w:rPr>
              <w:rFonts w:hint="eastAsia"/>
            </w:rPr>
            <w:fldChar w:fldCharType="separate"/>
          </w:r>
          <w:r>
            <w:rPr>
              <w:rFonts w:hint="default" w:ascii="Times New Roman" w:hAnsi="Times New Roman" w:cs="Times New Roman"/>
              <w:szCs w:val="24"/>
              <w:lang w:val="en-US" w:eastAsia="zh-CN"/>
            </w:rPr>
            <w:t>1.1 Background and Importance of Intangible Cultural Heritage Preservation</w:t>
          </w:r>
          <w:r>
            <w:tab/>
          </w:r>
          <w:r>
            <w:fldChar w:fldCharType="begin"/>
          </w:r>
          <w:r>
            <w:instrText xml:space="preserve"> PAGEREF _Toc21526 \h </w:instrText>
          </w:r>
          <w:r>
            <w:fldChar w:fldCharType="separate"/>
          </w:r>
          <w:r>
            <w:t>1</w:t>
          </w:r>
          <w:r>
            <w:fldChar w:fldCharType="end"/>
          </w:r>
          <w:r>
            <w:rPr>
              <w:rFonts w:hint="eastAsia"/>
            </w:rPr>
            <w:fldChar w:fldCharType="end"/>
          </w:r>
        </w:p>
        <w:p w14:paraId="3B9AA57F">
          <w:pPr>
            <w:pStyle w:val="11"/>
            <w:tabs>
              <w:tab w:val="right" w:leader="dot" w:pos="9026"/>
            </w:tabs>
          </w:pPr>
          <w:r>
            <w:rPr>
              <w:rFonts w:hint="eastAsia"/>
            </w:rPr>
            <w:fldChar w:fldCharType="begin"/>
          </w:r>
          <w:r>
            <w:rPr>
              <w:rFonts w:hint="eastAsia"/>
            </w:rPr>
            <w:instrText xml:space="preserve"> HYPERLINK \l _Toc9426 </w:instrText>
          </w:r>
          <w:r>
            <w:rPr>
              <w:rFonts w:hint="eastAsia"/>
            </w:rPr>
            <w:fldChar w:fldCharType="separate"/>
          </w:r>
          <w:r>
            <w:rPr>
              <w:rFonts w:hint="eastAsia"/>
              <w:lang w:val="en-US" w:eastAsia="zh-CN"/>
            </w:rPr>
            <w:t>1.2 Challenges Facing Contemporary Heritage Transmission</w:t>
          </w:r>
          <w:r>
            <w:tab/>
          </w:r>
          <w:r>
            <w:fldChar w:fldCharType="begin"/>
          </w:r>
          <w:r>
            <w:instrText xml:space="preserve"> PAGEREF _Toc9426 \h </w:instrText>
          </w:r>
          <w:r>
            <w:fldChar w:fldCharType="separate"/>
          </w:r>
          <w:r>
            <w:t>1</w:t>
          </w:r>
          <w:r>
            <w:fldChar w:fldCharType="end"/>
          </w:r>
          <w:r>
            <w:rPr>
              <w:rFonts w:hint="eastAsia"/>
            </w:rPr>
            <w:fldChar w:fldCharType="end"/>
          </w:r>
        </w:p>
        <w:p w14:paraId="1670C81D">
          <w:pPr>
            <w:pStyle w:val="11"/>
            <w:tabs>
              <w:tab w:val="right" w:leader="dot" w:pos="9026"/>
            </w:tabs>
          </w:pPr>
          <w:r>
            <w:rPr>
              <w:rFonts w:hint="eastAsia"/>
            </w:rPr>
            <w:fldChar w:fldCharType="begin"/>
          </w:r>
          <w:r>
            <w:rPr>
              <w:rFonts w:hint="eastAsia"/>
            </w:rPr>
            <w:instrText xml:space="preserve"> HYPERLINK \l _Toc15458 </w:instrText>
          </w:r>
          <w:r>
            <w:rPr>
              <w:rFonts w:hint="eastAsia"/>
            </w:rPr>
            <w:fldChar w:fldCharType="separate"/>
          </w:r>
          <w:r>
            <w:rPr>
              <w:rFonts w:hint="eastAsia"/>
              <w:lang w:val="en-US" w:eastAsia="zh-CN"/>
            </w:rPr>
            <w:t>1.3 Limitations of Existing Digital Preservation Approaches</w:t>
          </w:r>
          <w:r>
            <w:tab/>
          </w:r>
          <w:r>
            <w:fldChar w:fldCharType="begin"/>
          </w:r>
          <w:r>
            <w:instrText xml:space="preserve"> PAGEREF _Toc15458 \h </w:instrText>
          </w:r>
          <w:r>
            <w:fldChar w:fldCharType="separate"/>
          </w:r>
          <w:r>
            <w:t>2</w:t>
          </w:r>
          <w:r>
            <w:fldChar w:fldCharType="end"/>
          </w:r>
          <w:r>
            <w:rPr>
              <w:rFonts w:hint="eastAsia"/>
            </w:rPr>
            <w:fldChar w:fldCharType="end"/>
          </w:r>
        </w:p>
        <w:p w14:paraId="7C4E31C5">
          <w:pPr>
            <w:pStyle w:val="11"/>
            <w:tabs>
              <w:tab w:val="right" w:leader="dot" w:pos="9026"/>
            </w:tabs>
          </w:pPr>
          <w:r>
            <w:rPr>
              <w:rFonts w:hint="eastAsia"/>
            </w:rPr>
            <w:fldChar w:fldCharType="begin"/>
          </w:r>
          <w:r>
            <w:rPr>
              <w:rFonts w:hint="eastAsia"/>
            </w:rPr>
            <w:instrText xml:space="preserve"> HYPERLINK \l _Toc18011 </w:instrText>
          </w:r>
          <w:r>
            <w:rPr>
              <w:rFonts w:hint="eastAsia"/>
            </w:rPr>
            <w:fldChar w:fldCharType="separate"/>
          </w:r>
          <w:r>
            <w:rPr>
              <w:rFonts w:hint="eastAsia"/>
              <w:lang w:val="en-US" w:eastAsia="zh-CN"/>
            </w:rPr>
            <w:t>1.4 Research Gap and Research Questions</w:t>
          </w:r>
          <w:r>
            <w:tab/>
          </w:r>
          <w:r>
            <w:fldChar w:fldCharType="begin"/>
          </w:r>
          <w:r>
            <w:instrText xml:space="preserve"> PAGEREF _Toc18011 \h </w:instrText>
          </w:r>
          <w:r>
            <w:fldChar w:fldCharType="separate"/>
          </w:r>
          <w:r>
            <w:t>2</w:t>
          </w:r>
          <w:r>
            <w:fldChar w:fldCharType="end"/>
          </w:r>
          <w:r>
            <w:rPr>
              <w:rFonts w:hint="eastAsia"/>
            </w:rPr>
            <w:fldChar w:fldCharType="end"/>
          </w:r>
        </w:p>
        <w:p w14:paraId="715023FD">
          <w:pPr>
            <w:pStyle w:val="11"/>
            <w:tabs>
              <w:tab w:val="right" w:leader="dot" w:pos="9026"/>
            </w:tabs>
          </w:pPr>
          <w:r>
            <w:rPr>
              <w:rFonts w:hint="eastAsia"/>
            </w:rPr>
            <w:fldChar w:fldCharType="begin"/>
          </w:r>
          <w:r>
            <w:rPr>
              <w:rFonts w:hint="eastAsia"/>
            </w:rPr>
            <w:instrText xml:space="preserve"> HYPERLINK \l _Toc11432 </w:instrText>
          </w:r>
          <w:r>
            <w:rPr>
              <w:rFonts w:hint="eastAsia"/>
            </w:rPr>
            <w:fldChar w:fldCharType="separate"/>
          </w:r>
          <w:r>
            <w:rPr>
              <w:rFonts w:hint="eastAsia"/>
              <w:lang w:val="en-US" w:eastAsia="zh-CN"/>
            </w:rPr>
            <w:t xml:space="preserve">1.5 </w:t>
          </w:r>
          <w:r>
            <w:rPr>
              <w:rFonts w:hint="default"/>
              <w:lang w:val="en-US" w:eastAsia="zh-CN"/>
            </w:rPr>
            <w:t>Research Objectives and Methodology</w:t>
          </w:r>
          <w:r>
            <w:tab/>
          </w:r>
          <w:r>
            <w:fldChar w:fldCharType="begin"/>
          </w:r>
          <w:r>
            <w:instrText xml:space="preserve"> PAGEREF _Toc11432 \h </w:instrText>
          </w:r>
          <w:r>
            <w:fldChar w:fldCharType="separate"/>
          </w:r>
          <w:r>
            <w:t>3</w:t>
          </w:r>
          <w:r>
            <w:fldChar w:fldCharType="end"/>
          </w:r>
          <w:r>
            <w:rPr>
              <w:rFonts w:hint="eastAsia"/>
            </w:rPr>
            <w:fldChar w:fldCharType="end"/>
          </w:r>
        </w:p>
        <w:p w14:paraId="25673680">
          <w:pPr>
            <w:pStyle w:val="11"/>
            <w:tabs>
              <w:tab w:val="right" w:leader="dot" w:pos="9026"/>
            </w:tabs>
          </w:pPr>
          <w:r>
            <w:rPr>
              <w:rFonts w:hint="eastAsia"/>
            </w:rPr>
            <w:fldChar w:fldCharType="begin"/>
          </w:r>
          <w:r>
            <w:rPr>
              <w:rFonts w:hint="eastAsia"/>
            </w:rPr>
            <w:instrText xml:space="preserve"> HYPERLINK \l _Toc19078 </w:instrText>
          </w:r>
          <w:r>
            <w:rPr>
              <w:rFonts w:hint="eastAsia"/>
            </w:rPr>
            <w:fldChar w:fldCharType="separate"/>
          </w:r>
          <w:r>
            <w:rPr>
              <w:rFonts w:hint="eastAsia"/>
              <w:lang w:val="en-US" w:eastAsia="zh-CN"/>
            </w:rPr>
            <w:t xml:space="preserve">1.6 </w:t>
          </w:r>
          <w:r>
            <w:rPr>
              <w:rFonts w:hint="default"/>
              <w:lang w:val="en-US" w:eastAsia="zh-CN"/>
            </w:rPr>
            <w:t>Research Contributions and Significance</w:t>
          </w:r>
          <w:r>
            <w:tab/>
          </w:r>
          <w:r>
            <w:fldChar w:fldCharType="begin"/>
          </w:r>
          <w:r>
            <w:instrText xml:space="preserve"> PAGEREF _Toc19078 \h </w:instrText>
          </w:r>
          <w:r>
            <w:fldChar w:fldCharType="separate"/>
          </w:r>
          <w:r>
            <w:t>3</w:t>
          </w:r>
          <w:r>
            <w:fldChar w:fldCharType="end"/>
          </w:r>
          <w:r>
            <w:rPr>
              <w:rFonts w:hint="eastAsia"/>
            </w:rPr>
            <w:fldChar w:fldCharType="end"/>
          </w:r>
        </w:p>
        <w:p w14:paraId="38D1D12C">
          <w:pPr>
            <w:pStyle w:val="10"/>
            <w:tabs>
              <w:tab w:val="right" w:leader="dot" w:pos="9026"/>
            </w:tabs>
          </w:pPr>
          <w:r>
            <w:rPr>
              <w:rFonts w:hint="eastAsia"/>
            </w:rPr>
            <w:fldChar w:fldCharType="begin"/>
          </w:r>
          <w:r>
            <w:rPr>
              <w:rFonts w:hint="eastAsia"/>
            </w:rPr>
            <w:instrText xml:space="preserve"> HYPERLINK \l _Toc9801 </w:instrText>
          </w:r>
          <w:r>
            <w:rPr>
              <w:rFonts w:hint="eastAsia"/>
            </w:rPr>
            <w:fldChar w:fldCharType="separate"/>
          </w:r>
          <w:r>
            <w:rPr>
              <w:rFonts w:hint="eastAsia"/>
              <w:lang w:val="en-US" w:eastAsia="zh-CN"/>
            </w:rPr>
            <w:t>2</w:t>
          </w:r>
          <w:r>
            <w:rPr>
              <w:rFonts w:hint="default"/>
              <w:lang w:val="en-US" w:eastAsia="zh-CN"/>
            </w:rPr>
            <w:t>.</w:t>
          </w:r>
          <w:r>
            <w:rPr>
              <w:rFonts w:hint="eastAsia"/>
              <w:lang w:val="en-US" w:eastAsia="zh-CN"/>
            </w:rPr>
            <w:t xml:space="preserve"> </w:t>
          </w:r>
          <w:r>
            <w:rPr>
              <w:rFonts w:hint="default"/>
              <w:lang w:val="en-US" w:eastAsia="zh-CN"/>
            </w:rPr>
            <w:t>Research Design</w:t>
          </w:r>
          <w:r>
            <w:tab/>
          </w:r>
          <w:r>
            <w:fldChar w:fldCharType="begin"/>
          </w:r>
          <w:r>
            <w:instrText xml:space="preserve"> PAGEREF _Toc9801 \h </w:instrText>
          </w:r>
          <w:r>
            <w:fldChar w:fldCharType="separate"/>
          </w:r>
          <w:r>
            <w:t>4</w:t>
          </w:r>
          <w:r>
            <w:fldChar w:fldCharType="end"/>
          </w:r>
          <w:r>
            <w:rPr>
              <w:rFonts w:hint="eastAsia"/>
            </w:rPr>
            <w:fldChar w:fldCharType="end"/>
          </w:r>
        </w:p>
        <w:p w14:paraId="11CB4568">
          <w:pPr>
            <w:pStyle w:val="11"/>
            <w:tabs>
              <w:tab w:val="right" w:leader="dot" w:pos="9026"/>
            </w:tabs>
          </w:pPr>
          <w:r>
            <w:rPr>
              <w:rFonts w:hint="eastAsia"/>
            </w:rPr>
            <w:fldChar w:fldCharType="begin"/>
          </w:r>
          <w:r>
            <w:rPr>
              <w:rFonts w:hint="eastAsia"/>
            </w:rPr>
            <w:instrText xml:space="preserve"> HYPERLINK \l _Toc15321 </w:instrText>
          </w:r>
          <w:r>
            <w:rPr>
              <w:rFonts w:hint="eastAsia"/>
            </w:rPr>
            <w:fldChar w:fldCharType="separate"/>
          </w:r>
          <w:r>
            <w:rPr>
              <w:rFonts w:hint="eastAsia"/>
              <w:lang w:val="en-US" w:eastAsia="zh-CN"/>
            </w:rPr>
            <w:t>2</w:t>
          </w:r>
          <w:r>
            <w:rPr>
              <w:rFonts w:hint="default"/>
              <w:lang w:val="en-US" w:eastAsia="zh-CN"/>
            </w:rPr>
            <w:t>.1</w:t>
          </w:r>
          <w:r>
            <w:rPr>
              <w:rFonts w:hint="eastAsia"/>
              <w:lang w:val="en-US" w:eastAsia="zh-CN"/>
            </w:rPr>
            <w:t xml:space="preserve"> Overall Research Approach</w:t>
          </w:r>
          <w:r>
            <w:tab/>
          </w:r>
          <w:r>
            <w:fldChar w:fldCharType="begin"/>
          </w:r>
          <w:r>
            <w:instrText xml:space="preserve"> PAGEREF _Toc15321 \h </w:instrText>
          </w:r>
          <w:r>
            <w:fldChar w:fldCharType="separate"/>
          </w:r>
          <w:r>
            <w:t>4</w:t>
          </w:r>
          <w:r>
            <w:fldChar w:fldCharType="end"/>
          </w:r>
          <w:r>
            <w:rPr>
              <w:rFonts w:hint="eastAsia"/>
            </w:rPr>
            <w:fldChar w:fldCharType="end"/>
          </w:r>
        </w:p>
        <w:p w14:paraId="615CF65A">
          <w:pPr>
            <w:pStyle w:val="11"/>
            <w:tabs>
              <w:tab w:val="right" w:leader="dot" w:pos="9026"/>
            </w:tabs>
          </w:pPr>
          <w:r>
            <w:rPr>
              <w:rFonts w:hint="eastAsia"/>
            </w:rPr>
            <w:fldChar w:fldCharType="begin"/>
          </w:r>
          <w:r>
            <w:rPr>
              <w:rFonts w:hint="eastAsia"/>
            </w:rPr>
            <w:instrText xml:space="preserve"> HYPERLINK \l _Toc26065 </w:instrText>
          </w:r>
          <w:r>
            <w:rPr>
              <w:rFonts w:hint="eastAsia"/>
            </w:rPr>
            <w:fldChar w:fldCharType="separate"/>
          </w:r>
          <w:r>
            <w:rPr>
              <w:rFonts w:hint="eastAsia"/>
              <w:lang w:val="en-US" w:eastAsia="zh-CN"/>
            </w:rPr>
            <w:t>2</w:t>
          </w:r>
          <w:r>
            <w:rPr>
              <w:rFonts w:hint="default"/>
              <w:lang w:val="en-US" w:eastAsia="zh-CN"/>
            </w:rPr>
            <w:t>.2</w:t>
          </w:r>
          <w:r>
            <w:rPr>
              <w:rFonts w:hint="eastAsia"/>
              <w:lang w:val="en-US" w:eastAsia="zh-CN"/>
            </w:rPr>
            <w:t xml:space="preserve"> Research Methods</w:t>
          </w:r>
          <w:r>
            <w:tab/>
          </w:r>
          <w:r>
            <w:fldChar w:fldCharType="begin"/>
          </w:r>
          <w:r>
            <w:instrText xml:space="preserve"> PAGEREF _Toc26065 \h </w:instrText>
          </w:r>
          <w:r>
            <w:fldChar w:fldCharType="separate"/>
          </w:r>
          <w:r>
            <w:t>4</w:t>
          </w:r>
          <w:r>
            <w:fldChar w:fldCharType="end"/>
          </w:r>
          <w:r>
            <w:rPr>
              <w:rFonts w:hint="eastAsia"/>
            </w:rPr>
            <w:fldChar w:fldCharType="end"/>
          </w:r>
        </w:p>
        <w:p w14:paraId="7155FBD5">
          <w:pPr>
            <w:pStyle w:val="7"/>
            <w:tabs>
              <w:tab w:val="right" w:leader="dot" w:pos="9026"/>
            </w:tabs>
          </w:pPr>
          <w:r>
            <w:rPr>
              <w:rFonts w:hint="eastAsia"/>
            </w:rPr>
            <w:fldChar w:fldCharType="begin"/>
          </w:r>
          <w:r>
            <w:rPr>
              <w:rFonts w:hint="eastAsia"/>
            </w:rPr>
            <w:instrText xml:space="preserve"> HYPERLINK \l _Toc14430 </w:instrText>
          </w:r>
          <w:r>
            <w:rPr>
              <w:rFonts w:hint="eastAsia"/>
            </w:rPr>
            <w:fldChar w:fldCharType="separate"/>
          </w:r>
          <w:r>
            <w:rPr>
              <w:rFonts w:hint="eastAsia"/>
              <w:lang w:val="en-US" w:eastAsia="zh-CN"/>
            </w:rPr>
            <w:t>2.2.1 Literature Review</w:t>
          </w:r>
          <w:r>
            <w:tab/>
          </w:r>
          <w:r>
            <w:fldChar w:fldCharType="begin"/>
          </w:r>
          <w:r>
            <w:instrText xml:space="preserve"> PAGEREF _Toc14430 \h </w:instrText>
          </w:r>
          <w:r>
            <w:fldChar w:fldCharType="separate"/>
          </w:r>
          <w:r>
            <w:t>4</w:t>
          </w:r>
          <w:r>
            <w:fldChar w:fldCharType="end"/>
          </w:r>
          <w:r>
            <w:rPr>
              <w:rFonts w:hint="eastAsia"/>
            </w:rPr>
            <w:fldChar w:fldCharType="end"/>
          </w:r>
        </w:p>
        <w:p w14:paraId="72D9BA17">
          <w:pPr>
            <w:pStyle w:val="7"/>
            <w:tabs>
              <w:tab w:val="right" w:leader="dot" w:pos="9026"/>
            </w:tabs>
          </w:pPr>
          <w:r>
            <w:rPr>
              <w:rFonts w:hint="eastAsia"/>
            </w:rPr>
            <w:fldChar w:fldCharType="begin"/>
          </w:r>
          <w:r>
            <w:rPr>
              <w:rFonts w:hint="eastAsia"/>
            </w:rPr>
            <w:instrText xml:space="preserve"> HYPERLINK \l _Toc24076 </w:instrText>
          </w:r>
          <w:r>
            <w:rPr>
              <w:rFonts w:hint="eastAsia"/>
            </w:rPr>
            <w:fldChar w:fldCharType="separate"/>
          </w:r>
          <w:r>
            <w:rPr>
              <w:rFonts w:hint="eastAsia"/>
              <w:szCs w:val="24"/>
              <w:lang w:val="en-US" w:eastAsia="zh-CN"/>
            </w:rPr>
            <w:t>2.2.2 Comparative Analysis</w:t>
          </w:r>
          <w:r>
            <w:tab/>
          </w:r>
          <w:r>
            <w:fldChar w:fldCharType="begin"/>
          </w:r>
          <w:r>
            <w:instrText xml:space="preserve"> PAGEREF _Toc24076 \h </w:instrText>
          </w:r>
          <w:r>
            <w:fldChar w:fldCharType="separate"/>
          </w:r>
          <w:r>
            <w:t>4</w:t>
          </w:r>
          <w:r>
            <w:fldChar w:fldCharType="end"/>
          </w:r>
          <w:r>
            <w:rPr>
              <w:rFonts w:hint="eastAsia"/>
            </w:rPr>
            <w:fldChar w:fldCharType="end"/>
          </w:r>
        </w:p>
        <w:p w14:paraId="442413F5">
          <w:pPr>
            <w:pStyle w:val="7"/>
            <w:tabs>
              <w:tab w:val="right" w:leader="dot" w:pos="9026"/>
            </w:tabs>
          </w:pPr>
          <w:r>
            <w:rPr>
              <w:rFonts w:hint="eastAsia"/>
            </w:rPr>
            <w:fldChar w:fldCharType="begin"/>
          </w:r>
          <w:r>
            <w:rPr>
              <w:rFonts w:hint="eastAsia"/>
            </w:rPr>
            <w:instrText xml:space="preserve"> HYPERLINK \l _Toc10483 </w:instrText>
          </w:r>
          <w:r>
            <w:rPr>
              <w:rFonts w:hint="eastAsia"/>
            </w:rPr>
            <w:fldChar w:fldCharType="separate"/>
          </w:r>
          <w:r>
            <w:rPr>
              <w:rFonts w:hint="eastAsia"/>
              <w:lang w:val="en-US" w:eastAsia="zh-CN"/>
            </w:rPr>
            <w:t>2.2.3 Case Study: Nanjing Yunjin Brocade</w:t>
          </w:r>
          <w:r>
            <w:tab/>
          </w:r>
          <w:r>
            <w:fldChar w:fldCharType="begin"/>
          </w:r>
          <w:r>
            <w:instrText xml:space="preserve"> PAGEREF _Toc10483 \h </w:instrText>
          </w:r>
          <w:r>
            <w:fldChar w:fldCharType="separate"/>
          </w:r>
          <w:r>
            <w:t>5</w:t>
          </w:r>
          <w:r>
            <w:fldChar w:fldCharType="end"/>
          </w:r>
          <w:r>
            <w:rPr>
              <w:rFonts w:hint="eastAsia"/>
            </w:rPr>
            <w:fldChar w:fldCharType="end"/>
          </w:r>
        </w:p>
        <w:p w14:paraId="5A1F1F91">
          <w:pPr>
            <w:pStyle w:val="11"/>
            <w:tabs>
              <w:tab w:val="right" w:leader="dot" w:pos="9026"/>
            </w:tabs>
          </w:pPr>
          <w:r>
            <w:rPr>
              <w:rFonts w:hint="eastAsia"/>
            </w:rPr>
            <w:fldChar w:fldCharType="begin"/>
          </w:r>
          <w:r>
            <w:rPr>
              <w:rFonts w:hint="eastAsia"/>
            </w:rPr>
            <w:instrText xml:space="preserve"> HYPERLINK \l _Toc6293 </w:instrText>
          </w:r>
          <w:r>
            <w:rPr>
              <w:rFonts w:hint="eastAsia"/>
            </w:rPr>
            <w:fldChar w:fldCharType="separate"/>
          </w:r>
          <w:r>
            <w:rPr>
              <w:rFonts w:hint="eastAsia" w:eastAsiaTheme="minorEastAsia" w:cstheme="minorBidi"/>
              <w:kern w:val="2"/>
              <w:szCs w:val="24"/>
              <w:lang w:val="en-US" w:eastAsia="zh-CN" w:bidi="ar-SA"/>
            </w:rPr>
            <w:t>2</w:t>
          </w:r>
          <w:r>
            <w:rPr>
              <w:rFonts w:hint="default" w:ascii="Times New Roman" w:hAnsi="Times New Roman" w:eastAsiaTheme="minorEastAsia" w:cstheme="minorBidi"/>
              <w:kern w:val="2"/>
              <w:szCs w:val="24"/>
              <w:lang w:val="en-US" w:eastAsia="zh-CN" w:bidi="ar-SA"/>
            </w:rPr>
            <w:t>.3</w:t>
          </w:r>
          <w:r>
            <w:rPr>
              <w:rFonts w:hint="eastAsia" w:eastAsiaTheme="minorEastAsia" w:cstheme="minorBidi"/>
              <w:kern w:val="2"/>
              <w:szCs w:val="24"/>
              <w:lang w:val="en-US" w:eastAsia="zh-CN" w:bidi="ar-SA"/>
            </w:rPr>
            <w:t xml:space="preserve"> </w:t>
          </w:r>
          <w:r>
            <w:rPr>
              <w:rFonts w:hint="eastAsia"/>
              <w:lang w:val="en-US" w:eastAsia="zh-CN"/>
            </w:rPr>
            <w:t>Research Procedure</w:t>
          </w:r>
          <w:r>
            <w:tab/>
          </w:r>
          <w:r>
            <w:fldChar w:fldCharType="begin"/>
          </w:r>
          <w:r>
            <w:instrText xml:space="preserve"> PAGEREF _Toc6293 \h </w:instrText>
          </w:r>
          <w:r>
            <w:fldChar w:fldCharType="separate"/>
          </w:r>
          <w:r>
            <w:t>5</w:t>
          </w:r>
          <w:r>
            <w:fldChar w:fldCharType="end"/>
          </w:r>
          <w:r>
            <w:rPr>
              <w:rFonts w:hint="eastAsia"/>
            </w:rPr>
            <w:fldChar w:fldCharType="end"/>
          </w:r>
        </w:p>
        <w:p w14:paraId="79138252">
          <w:pPr>
            <w:pStyle w:val="7"/>
            <w:tabs>
              <w:tab w:val="right" w:leader="dot" w:pos="9026"/>
            </w:tabs>
          </w:pPr>
          <w:r>
            <w:rPr>
              <w:rFonts w:hint="eastAsia"/>
            </w:rPr>
            <w:fldChar w:fldCharType="begin"/>
          </w:r>
          <w:r>
            <w:rPr>
              <w:rFonts w:hint="eastAsia"/>
            </w:rPr>
            <w:instrText xml:space="preserve"> HYPERLINK \l _Toc3100 </w:instrText>
          </w:r>
          <w:r>
            <w:rPr>
              <w:rFonts w:hint="eastAsia"/>
            </w:rPr>
            <w:fldChar w:fldCharType="separate"/>
          </w:r>
          <w:r>
            <w:rPr>
              <w:rFonts w:hint="default"/>
              <w:lang w:val="en-US" w:eastAsia="zh-CN"/>
            </w:rPr>
            <w:t>Stage 1: Problem Identification</w:t>
          </w:r>
          <w:r>
            <w:tab/>
          </w:r>
          <w:r>
            <w:fldChar w:fldCharType="begin"/>
          </w:r>
          <w:r>
            <w:instrText xml:space="preserve"> PAGEREF _Toc3100 \h </w:instrText>
          </w:r>
          <w:r>
            <w:fldChar w:fldCharType="separate"/>
          </w:r>
          <w:r>
            <w:t>5</w:t>
          </w:r>
          <w:r>
            <w:fldChar w:fldCharType="end"/>
          </w:r>
          <w:r>
            <w:rPr>
              <w:rFonts w:hint="eastAsia"/>
            </w:rPr>
            <w:fldChar w:fldCharType="end"/>
          </w:r>
        </w:p>
        <w:p w14:paraId="3EDF0653">
          <w:pPr>
            <w:pStyle w:val="7"/>
            <w:tabs>
              <w:tab w:val="right" w:leader="dot" w:pos="9026"/>
            </w:tabs>
          </w:pPr>
          <w:r>
            <w:rPr>
              <w:rFonts w:hint="eastAsia"/>
            </w:rPr>
            <w:fldChar w:fldCharType="begin"/>
          </w:r>
          <w:r>
            <w:rPr>
              <w:rFonts w:hint="eastAsia"/>
            </w:rPr>
            <w:instrText xml:space="preserve"> HYPERLINK \l _Toc4080 </w:instrText>
          </w:r>
          <w:r>
            <w:rPr>
              <w:rFonts w:hint="eastAsia"/>
            </w:rPr>
            <w:fldChar w:fldCharType="separate"/>
          </w:r>
          <w:r>
            <w:rPr>
              <w:rFonts w:hint="default"/>
              <w:lang w:val="en-US" w:eastAsia="zh-CN"/>
            </w:rPr>
            <w:t>Stage 2: Analysis of Existing Solutions</w:t>
          </w:r>
          <w:r>
            <w:tab/>
          </w:r>
          <w:r>
            <w:fldChar w:fldCharType="begin"/>
          </w:r>
          <w:r>
            <w:instrText xml:space="preserve"> PAGEREF _Toc4080 \h </w:instrText>
          </w:r>
          <w:r>
            <w:fldChar w:fldCharType="separate"/>
          </w:r>
          <w:r>
            <w:t>6</w:t>
          </w:r>
          <w:r>
            <w:fldChar w:fldCharType="end"/>
          </w:r>
          <w:r>
            <w:rPr>
              <w:rFonts w:hint="eastAsia"/>
            </w:rPr>
            <w:fldChar w:fldCharType="end"/>
          </w:r>
        </w:p>
        <w:p w14:paraId="4849A88E">
          <w:pPr>
            <w:pStyle w:val="7"/>
            <w:tabs>
              <w:tab w:val="right" w:leader="dot" w:pos="9026"/>
            </w:tabs>
          </w:pPr>
          <w:r>
            <w:rPr>
              <w:rFonts w:hint="eastAsia"/>
            </w:rPr>
            <w:fldChar w:fldCharType="begin"/>
          </w:r>
          <w:r>
            <w:rPr>
              <w:rFonts w:hint="eastAsia"/>
            </w:rPr>
            <w:instrText xml:space="preserve"> HYPERLINK \l _Toc14381 </w:instrText>
          </w:r>
          <w:r>
            <w:rPr>
              <w:rFonts w:hint="eastAsia"/>
            </w:rPr>
            <w:fldChar w:fldCharType="separate"/>
          </w:r>
          <w:r>
            <w:rPr>
              <w:rFonts w:hint="default"/>
              <w:lang w:val="en-US" w:eastAsia="zh-CN"/>
            </w:rPr>
            <w:t>Stage 3: Framework Development</w:t>
          </w:r>
          <w:r>
            <w:tab/>
          </w:r>
          <w:r>
            <w:fldChar w:fldCharType="begin"/>
          </w:r>
          <w:r>
            <w:instrText xml:space="preserve"> PAGEREF _Toc14381 \h </w:instrText>
          </w:r>
          <w:r>
            <w:fldChar w:fldCharType="separate"/>
          </w:r>
          <w:r>
            <w:t>6</w:t>
          </w:r>
          <w:r>
            <w:fldChar w:fldCharType="end"/>
          </w:r>
          <w:r>
            <w:rPr>
              <w:rFonts w:hint="eastAsia"/>
            </w:rPr>
            <w:fldChar w:fldCharType="end"/>
          </w:r>
        </w:p>
        <w:p w14:paraId="687D2064">
          <w:pPr>
            <w:pStyle w:val="7"/>
            <w:tabs>
              <w:tab w:val="right" w:leader="dot" w:pos="9026"/>
            </w:tabs>
          </w:pPr>
          <w:r>
            <w:rPr>
              <w:rFonts w:hint="eastAsia"/>
            </w:rPr>
            <w:fldChar w:fldCharType="begin"/>
          </w:r>
          <w:r>
            <w:rPr>
              <w:rFonts w:hint="eastAsia"/>
            </w:rPr>
            <w:instrText xml:space="preserve"> HYPERLINK \l _Toc30581 </w:instrText>
          </w:r>
          <w:r>
            <w:rPr>
              <w:rFonts w:hint="eastAsia"/>
            </w:rPr>
            <w:fldChar w:fldCharType="separate"/>
          </w:r>
          <w:r>
            <w:rPr>
              <w:rFonts w:hint="default"/>
              <w:lang w:val="en-US" w:eastAsia="zh-CN"/>
            </w:rPr>
            <w:t>Stage 4: Framework Application and Evaluation</w:t>
          </w:r>
          <w:r>
            <w:tab/>
          </w:r>
          <w:r>
            <w:fldChar w:fldCharType="begin"/>
          </w:r>
          <w:r>
            <w:instrText xml:space="preserve"> PAGEREF _Toc30581 \h </w:instrText>
          </w:r>
          <w:r>
            <w:fldChar w:fldCharType="separate"/>
          </w:r>
          <w:r>
            <w:t>6</w:t>
          </w:r>
          <w:r>
            <w:fldChar w:fldCharType="end"/>
          </w:r>
          <w:r>
            <w:rPr>
              <w:rFonts w:hint="eastAsia"/>
            </w:rPr>
            <w:fldChar w:fldCharType="end"/>
          </w:r>
        </w:p>
        <w:p w14:paraId="7D4F9BA7">
          <w:pPr>
            <w:pStyle w:val="11"/>
            <w:tabs>
              <w:tab w:val="right" w:leader="dot" w:pos="9026"/>
            </w:tabs>
          </w:pPr>
          <w:r>
            <w:rPr>
              <w:rFonts w:hint="eastAsia"/>
            </w:rPr>
            <w:fldChar w:fldCharType="begin"/>
          </w:r>
          <w:r>
            <w:rPr>
              <w:rFonts w:hint="eastAsia"/>
            </w:rPr>
            <w:instrText xml:space="preserve"> HYPERLINK \l _Toc22544 </w:instrText>
          </w:r>
          <w:r>
            <w:rPr>
              <w:rFonts w:hint="eastAsia"/>
            </w:rPr>
            <w:fldChar w:fldCharType="separate"/>
          </w:r>
          <w:r>
            <w:rPr>
              <w:rFonts w:hint="eastAsia"/>
              <w:lang w:val="en-US" w:eastAsia="zh-CN"/>
            </w:rPr>
            <w:t>2</w:t>
          </w:r>
          <w:r>
            <w:rPr>
              <w:rFonts w:hint="default"/>
              <w:lang w:val="en-US" w:eastAsia="zh-CN"/>
            </w:rPr>
            <w:t>.4</w:t>
          </w:r>
          <w:r>
            <w:rPr>
              <w:rFonts w:hint="eastAsia"/>
              <w:lang w:val="en-US" w:eastAsia="zh-CN"/>
            </w:rPr>
            <w:t xml:space="preserve"> Proposed Digital Heritage Ecosystem: A Chinese Solution</w:t>
          </w:r>
          <w:r>
            <w:tab/>
          </w:r>
          <w:r>
            <w:fldChar w:fldCharType="begin"/>
          </w:r>
          <w:r>
            <w:instrText xml:space="preserve"> PAGEREF _Toc22544 \h </w:instrText>
          </w:r>
          <w:r>
            <w:fldChar w:fldCharType="separate"/>
          </w:r>
          <w:r>
            <w:t>6</w:t>
          </w:r>
          <w:r>
            <w:fldChar w:fldCharType="end"/>
          </w:r>
          <w:r>
            <w:rPr>
              <w:rFonts w:hint="eastAsia"/>
            </w:rPr>
            <w:fldChar w:fldCharType="end"/>
          </w:r>
        </w:p>
        <w:p w14:paraId="62D1CD3E">
          <w:pPr>
            <w:pStyle w:val="7"/>
            <w:tabs>
              <w:tab w:val="right" w:leader="dot" w:pos="9026"/>
            </w:tabs>
          </w:pPr>
          <w:r>
            <w:rPr>
              <w:rFonts w:hint="eastAsia"/>
            </w:rPr>
            <w:fldChar w:fldCharType="begin"/>
          </w:r>
          <w:r>
            <w:rPr>
              <w:rFonts w:hint="eastAsia"/>
            </w:rPr>
            <w:instrText xml:space="preserve"> HYPERLINK \l _Toc18326 </w:instrText>
          </w:r>
          <w:r>
            <w:rPr>
              <w:rFonts w:hint="eastAsia"/>
            </w:rPr>
            <w:fldChar w:fldCharType="separate"/>
          </w:r>
          <w:r>
            <w:rPr>
              <w:rFonts w:hint="eastAsia"/>
              <w:lang w:val="en-US" w:eastAsia="zh-CN"/>
            </w:rPr>
            <w:t>2</w:t>
          </w:r>
          <w:r>
            <w:rPr>
              <w:rFonts w:hint="default"/>
              <w:lang w:val="en-US" w:eastAsia="zh-CN"/>
            </w:rPr>
            <w:t>.4.1</w:t>
          </w:r>
          <w:r>
            <w:rPr>
              <w:rFonts w:hint="eastAsia"/>
              <w:lang w:val="en-US" w:eastAsia="zh-CN"/>
            </w:rPr>
            <w:t xml:space="preserve"> Overview of the Digital Heritage Ecosystem</w:t>
          </w:r>
          <w:r>
            <w:tab/>
          </w:r>
          <w:r>
            <w:fldChar w:fldCharType="begin"/>
          </w:r>
          <w:r>
            <w:instrText xml:space="preserve"> PAGEREF _Toc18326 \h </w:instrText>
          </w:r>
          <w:r>
            <w:fldChar w:fldCharType="separate"/>
          </w:r>
          <w:r>
            <w:t>6</w:t>
          </w:r>
          <w:r>
            <w:fldChar w:fldCharType="end"/>
          </w:r>
          <w:r>
            <w:rPr>
              <w:rFonts w:hint="eastAsia"/>
            </w:rPr>
            <w:fldChar w:fldCharType="end"/>
          </w:r>
        </w:p>
        <w:p w14:paraId="29A9391B">
          <w:pPr>
            <w:pStyle w:val="7"/>
            <w:tabs>
              <w:tab w:val="right" w:leader="dot" w:pos="9026"/>
            </w:tabs>
          </w:pPr>
          <w:r>
            <w:rPr>
              <w:rFonts w:hint="eastAsia"/>
            </w:rPr>
            <w:fldChar w:fldCharType="begin"/>
          </w:r>
          <w:r>
            <w:rPr>
              <w:rFonts w:hint="eastAsia"/>
            </w:rPr>
            <w:instrText xml:space="preserve"> HYPERLINK \l _Toc16114 </w:instrText>
          </w:r>
          <w:r>
            <w:rPr>
              <w:rFonts w:hint="eastAsia"/>
            </w:rPr>
            <w:fldChar w:fldCharType="separate"/>
          </w:r>
          <w:r>
            <w:rPr>
              <w:rFonts w:hint="eastAsia"/>
              <w:lang w:val="en-US" w:eastAsia="zh-CN"/>
            </w:rPr>
            <w:t>2</w:t>
          </w:r>
          <w:r>
            <w:rPr>
              <w:rFonts w:hint="default"/>
              <w:lang w:val="en-US" w:eastAsia="zh-CN"/>
            </w:rPr>
            <w:t>.4.2</w:t>
          </w:r>
          <w:r>
            <w:rPr>
              <w:rFonts w:hint="eastAsia"/>
              <w:lang w:val="en-US" w:eastAsia="zh-CN"/>
            </w:rPr>
            <w:t xml:space="preserve"> </w:t>
          </w:r>
          <w:r>
            <w:rPr>
              <w:rFonts w:hint="default"/>
              <w:lang w:val="en-US" w:eastAsia="zh-CN"/>
            </w:rPr>
            <w:t>Artificial Intelligence for Intelligent Heritage Preservation</w:t>
          </w:r>
          <w:r>
            <w:tab/>
          </w:r>
          <w:r>
            <w:fldChar w:fldCharType="begin"/>
          </w:r>
          <w:r>
            <w:instrText xml:space="preserve"> PAGEREF _Toc16114 \h </w:instrText>
          </w:r>
          <w:r>
            <w:fldChar w:fldCharType="separate"/>
          </w:r>
          <w:r>
            <w:t>8</w:t>
          </w:r>
          <w:r>
            <w:fldChar w:fldCharType="end"/>
          </w:r>
          <w:r>
            <w:rPr>
              <w:rFonts w:hint="eastAsia"/>
            </w:rPr>
            <w:fldChar w:fldCharType="end"/>
          </w:r>
        </w:p>
        <w:p w14:paraId="4A8071AA">
          <w:pPr>
            <w:pStyle w:val="7"/>
            <w:tabs>
              <w:tab w:val="right" w:leader="dot" w:pos="9026"/>
            </w:tabs>
          </w:pPr>
          <w:r>
            <w:rPr>
              <w:rFonts w:hint="eastAsia"/>
            </w:rPr>
            <w:fldChar w:fldCharType="begin"/>
          </w:r>
          <w:r>
            <w:rPr>
              <w:rFonts w:hint="eastAsia"/>
            </w:rPr>
            <w:instrText xml:space="preserve"> HYPERLINK \l _Toc22849 </w:instrText>
          </w:r>
          <w:r>
            <w:rPr>
              <w:rFonts w:hint="eastAsia"/>
            </w:rPr>
            <w:fldChar w:fldCharType="separate"/>
          </w:r>
          <w:r>
            <w:rPr>
              <w:rFonts w:hint="eastAsia"/>
              <w:lang w:val="en-US" w:eastAsia="zh-CN"/>
            </w:rPr>
            <w:t>2.4.3 Digital Twin Technology for Authentic Heritage Representation</w:t>
          </w:r>
          <w:r>
            <w:tab/>
          </w:r>
          <w:r>
            <w:fldChar w:fldCharType="begin"/>
          </w:r>
          <w:r>
            <w:instrText xml:space="preserve"> PAGEREF _Toc22849 \h </w:instrText>
          </w:r>
          <w:r>
            <w:fldChar w:fldCharType="separate"/>
          </w:r>
          <w:r>
            <w:t>9</w:t>
          </w:r>
          <w:r>
            <w:fldChar w:fldCharType="end"/>
          </w:r>
          <w:r>
            <w:rPr>
              <w:rFonts w:hint="eastAsia"/>
            </w:rPr>
            <w:fldChar w:fldCharType="end"/>
          </w:r>
        </w:p>
        <w:p w14:paraId="2C943F21">
          <w:pPr>
            <w:pStyle w:val="7"/>
            <w:tabs>
              <w:tab w:val="right" w:leader="dot" w:pos="9026"/>
            </w:tabs>
          </w:pPr>
          <w:r>
            <w:rPr>
              <w:rFonts w:hint="eastAsia"/>
            </w:rPr>
            <w:fldChar w:fldCharType="begin"/>
          </w:r>
          <w:r>
            <w:rPr>
              <w:rFonts w:hint="eastAsia"/>
            </w:rPr>
            <w:instrText xml:space="preserve"> HYPERLINK \l _Toc21145 </w:instrText>
          </w:r>
          <w:r>
            <w:rPr>
              <w:rFonts w:hint="eastAsia"/>
            </w:rPr>
            <w:fldChar w:fldCharType="separate"/>
          </w:r>
          <w:r>
            <w:rPr>
              <w:rFonts w:hint="default"/>
              <w:lang w:val="en-US" w:eastAsia="zh-CN"/>
            </w:rPr>
            <w:t>2.4.4 Immersive Learning for Experiential Heritage Transmission</w:t>
          </w:r>
          <w:r>
            <w:tab/>
          </w:r>
          <w:r>
            <w:fldChar w:fldCharType="begin"/>
          </w:r>
          <w:r>
            <w:instrText xml:space="preserve"> PAGEREF _Toc21145 \h </w:instrText>
          </w:r>
          <w:r>
            <w:fldChar w:fldCharType="separate"/>
          </w:r>
          <w:r>
            <w:t>12</w:t>
          </w:r>
          <w:r>
            <w:fldChar w:fldCharType="end"/>
          </w:r>
          <w:r>
            <w:rPr>
              <w:rFonts w:hint="eastAsia"/>
            </w:rPr>
            <w:fldChar w:fldCharType="end"/>
          </w:r>
        </w:p>
        <w:p w14:paraId="251CEB82">
          <w:pPr>
            <w:pStyle w:val="7"/>
            <w:tabs>
              <w:tab w:val="right" w:leader="dot" w:pos="9026"/>
            </w:tabs>
          </w:pPr>
          <w:r>
            <w:rPr>
              <w:rFonts w:hint="eastAsia"/>
            </w:rPr>
            <w:fldChar w:fldCharType="begin"/>
          </w:r>
          <w:r>
            <w:rPr>
              <w:rFonts w:hint="eastAsia"/>
            </w:rPr>
            <w:instrText xml:space="preserve"> HYPERLINK \l _Toc29042 </w:instrText>
          </w:r>
          <w:r>
            <w:rPr>
              <w:rFonts w:hint="eastAsia"/>
            </w:rPr>
            <w:fldChar w:fldCharType="separate"/>
          </w:r>
          <w:r>
            <w:rPr>
              <w:rFonts w:hint="default"/>
              <w:lang w:val="en-US" w:eastAsia="zh-CN"/>
            </w:rPr>
            <w:t>2.4.5 Community Participation as the Sustaining Mechanism</w:t>
          </w:r>
          <w:r>
            <w:tab/>
          </w:r>
          <w:r>
            <w:fldChar w:fldCharType="begin"/>
          </w:r>
          <w:r>
            <w:instrText xml:space="preserve"> PAGEREF _Toc29042 \h </w:instrText>
          </w:r>
          <w:r>
            <w:fldChar w:fldCharType="separate"/>
          </w:r>
          <w:r>
            <w:t>15</w:t>
          </w:r>
          <w:r>
            <w:fldChar w:fldCharType="end"/>
          </w:r>
          <w:r>
            <w:rPr>
              <w:rFonts w:hint="eastAsia"/>
            </w:rPr>
            <w:fldChar w:fldCharType="end"/>
          </w:r>
        </w:p>
        <w:p w14:paraId="3AFA4115">
          <w:pPr>
            <w:pStyle w:val="7"/>
            <w:tabs>
              <w:tab w:val="right" w:leader="dot" w:pos="9026"/>
            </w:tabs>
          </w:pPr>
          <w:r>
            <w:rPr>
              <w:rFonts w:hint="eastAsia"/>
            </w:rPr>
            <w:fldChar w:fldCharType="begin"/>
          </w:r>
          <w:r>
            <w:rPr>
              <w:rFonts w:hint="eastAsia"/>
            </w:rPr>
            <w:instrText xml:space="preserve"> HYPERLINK \l _Toc2358 </w:instrText>
          </w:r>
          <w:r>
            <w:rPr>
              <w:rFonts w:hint="eastAsia"/>
            </w:rPr>
            <w:fldChar w:fldCharType="separate"/>
          </w:r>
          <w:r>
            <w:rPr>
              <w:rFonts w:hint="default"/>
              <w:lang w:val="en-US" w:eastAsia="zh-CN"/>
            </w:rPr>
            <w:t>2.4.6 Interaction Among the Four Components</w:t>
          </w:r>
          <w:r>
            <w:tab/>
          </w:r>
          <w:r>
            <w:fldChar w:fldCharType="begin"/>
          </w:r>
          <w:r>
            <w:instrText xml:space="preserve"> PAGEREF _Toc2358 \h </w:instrText>
          </w:r>
          <w:r>
            <w:fldChar w:fldCharType="separate"/>
          </w:r>
          <w:r>
            <w:t>19</w:t>
          </w:r>
          <w:r>
            <w:fldChar w:fldCharType="end"/>
          </w:r>
          <w:r>
            <w:rPr>
              <w:rFonts w:hint="eastAsia"/>
            </w:rPr>
            <w:fldChar w:fldCharType="end"/>
          </w:r>
        </w:p>
        <w:p w14:paraId="5B33B69F">
          <w:pPr>
            <w:pStyle w:val="7"/>
            <w:tabs>
              <w:tab w:val="right" w:leader="dot" w:pos="9026"/>
            </w:tabs>
          </w:pPr>
          <w:r>
            <w:rPr>
              <w:rFonts w:hint="eastAsia"/>
            </w:rPr>
            <w:fldChar w:fldCharType="begin"/>
          </w:r>
          <w:r>
            <w:rPr>
              <w:rFonts w:hint="eastAsia"/>
            </w:rPr>
            <w:instrText xml:space="preserve"> HYPERLINK \l _Toc26158 </w:instrText>
          </w:r>
          <w:r>
            <w:rPr>
              <w:rFonts w:hint="eastAsia"/>
            </w:rPr>
            <w:fldChar w:fldCharType="separate"/>
          </w:r>
          <w:r>
            <w:rPr>
              <w:rFonts w:hint="eastAsia"/>
              <w:lang w:val="en-US" w:eastAsia="zh-CN"/>
            </w:rPr>
            <w:t>2.5 Phased Implementation Roadmap</w:t>
          </w:r>
          <w:r>
            <w:tab/>
          </w:r>
          <w:r>
            <w:fldChar w:fldCharType="begin"/>
          </w:r>
          <w:r>
            <w:instrText xml:space="preserve"> PAGEREF _Toc26158 \h </w:instrText>
          </w:r>
          <w:r>
            <w:fldChar w:fldCharType="separate"/>
          </w:r>
          <w:r>
            <w:t>20</w:t>
          </w:r>
          <w:r>
            <w:fldChar w:fldCharType="end"/>
          </w:r>
          <w:r>
            <w:rPr>
              <w:rFonts w:hint="eastAsia"/>
            </w:rPr>
            <w:fldChar w:fldCharType="end"/>
          </w:r>
        </w:p>
        <w:p w14:paraId="54428BA7">
          <w:pPr>
            <w:pStyle w:val="10"/>
            <w:tabs>
              <w:tab w:val="right" w:leader="dot" w:pos="9026"/>
            </w:tabs>
          </w:pPr>
          <w:r>
            <w:rPr>
              <w:rFonts w:hint="eastAsia"/>
            </w:rPr>
            <w:fldChar w:fldCharType="begin"/>
          </w:r>
          <w:r>
            <w:rPr>
              <w:rFonts w:hint="eastAsia"/>
            </w:rPr>
            <w:instrText xml:space="preserve"> HYPERLINK \l _Toc7914 </w:instrText>
          </w:r>
          <w:r>
            <w:rPr>
              <w:rFonts w:hint="eastAsia"/>
            </w:rPr>
            <w:fldChar w:fldCharType="separate"/>
          </w:r>
          <w:r>
            <w:rPr>
              <w:rFonts w:hint="eastAsia"/>
              <w:lang w:val="en-US" w:eastAsia="zh-CN"/>
            </w:rPr>
            <w:t>3</w:t>
          </w:r>
          <w:r>
            <w:rPr>
              <w:rFonts w:hint="default"/>
              <w:lang w:val="en-US" w:eastAsia="zh-CN"/>
            </w:rPr>
            <w:t>.</w:t>
          </w:r>
          <w:r>
            <w:rPr>
              <w:rFonts w:hint="eastAsia"/>
              <w:lang w:val="en-US" w:eastAsia="zh-CN"/>
            </w:rPr>
            <w:t xml:space="preserve"> Results</w:t>
          </w:r>
          <w:r>
            <w:tab/>
          </w:r>
          <w:r>
            <w:fldChar w:fldCharType="begin"/>
          </w:r>
          <w:r>
            <w:instrText xml:space="preserve"> PAGEREF _Toc7914 \h </w:instrText>
          </w:r>
          <w:r>
            <w:fldChar w:fldCharType="separate"/>
          </w:r>
          <w:r>
            <w:t>22</w:t>
          </w:r>
          <w:r>
            <w:fldChar w:fldCharType="end"/>
          </w:r>
          <w:r>
            <w:rPr>
              <w:rFonts w:hint="eastAsia"/>
            </w:rPr>
            <w:fldChar w:fldCharType="end"/>
          </w:r>
        </w:p>
        <w:p w14:paraId="7F43135C">
          <w:pPr>
            <w:pStyle w:val="11"/>
            <w:tabs>
              <w:tab w:val="right" w:leader="dot" w:pos="9026"/>
            </w:tabs>
          </w:pPr>
          <w:r>
            <w:rPr>
              <w:rFonts w:hint="eastAsia"/>
            </w:rPr>
            <w:fldChar w:fldCharType="begin"/>
          </w:r>
          <w:r>
            <w:rPr>
              <w:rFonts w:hint="eastAsia"/>
            </w:rPr>
            <w:instrText xml:space="preserve"> HYPERLINK \l _Toc4222 </w:instrText>
          </w:r>
          <w:r>
            <w:rPr>
              <w:rFonts w:hint="eastAsia"/>
            </w:rPr>
            <w:fldChar w:fldCharType="separate"/>
          </w:r>
          <w:r>
            <w:rPr>
              <w:rFonts w:hint="eastAsia"/>
              <w:lang w:val="en-US" w:eastAsia="zh-CN"/>
            </w:rPr>
            <w:t>3</w:t>
          </w:r>
          <w:r>
            <w:rPr>
              <w:rFonts w:hint="default"/>
              <w:lang w:val="en-US" w:eastAsia="zh-CN"/>
            </w:rPr>
            <w:t>.1</w:t>
          </w:r>
          <w:r>
            <w:rPr>
              <w:rFonts w:hint="eastAsia"/>
              <w:lang w:val="en-US" w:eastAsia="zh-CN"/>
            </w:rPr>
            <w:t xml:space="preserve"> Findings from Comparative Analysis of Existing Digital Heritage Practices</w:t>
          </w:r>
          <w:r>
            <w:tab/>
          </w:r>
          <w:r>
            <w:fldChar w:fldCharType="begin"/>
          </w:r>
          <w:r>
            <w:instrText xml:space="preserve"> PAGEREF _Toc4222 \h </w:instrText>
          </w:r>
          <w:r>
            <w:fldChar w:fldCharType="separate"/>
          </w:r>
          <w:r>
            <w:t>22</w:t>
          </w:r>
          <w:r>
            <w:fldChar w:fldCharType="end"/>
          </w:r>
          <w:r>
            <w:rPr>
              <w:rFonts w:hint="eastAsia"/>
            </w:rPr>
            <w:fldChar w:fldCharType="end"/>
          </w:r>
        </w:p>
        <w:p w14:paraId="36366297">
          <w:pPr>
            <w:pStyle w:val="11"/>
            <w:tabs>
              <w:tab w:val="right" w:leader="dot" w:pos="9026"/>
            </w:tabs>
          </w:pPr>
          <w:r>
            <w:rPr>
              <w:rFonts w:hint="eastAsia"/>
            </w:rPr>
            <w:fldChar w:fldCharType="begin"/>
          </w:r>
          <w:r>
            <w:rPr>
              <w:rFonts w:hint="eastAsia"/>
            </w:rPr>
            <w:instrText xml:space="preserve"> HYPERLINK \l _Toc2138 </w:instrText>
          </w:r>
          <w:r>
            <w:rPr>
              <w:rFonts w:hint="eastAsia"/>
            </w:rPr>
            <w:fldChar w:fldCharType="separate"/>
          </w:r>
          <w:r>
            <w:rPr>
              <w:rFonts w:hint="eastAsia"/>
              <w:lang w:val="en-US" w:eastAsia="zh-CN"/>
            </w:rPr>
            <w:t>3</w:t>
          </w:r>
          <w:r>
            <w:rPr>
              <w:rFonts w:hint="default"/>
              <w:lang w:val="en-US" w:eastAsia="zh-CN"/>
            </w:rPr>
            <w:t>.2</w:t>
          </w:r>
          <w:r>
            <w:rPr>
              <w:rFonts w:hint="eastAsia"/>
              <w:lang w:val="en-US" w:eastAsia="zh-CN"/>
            </w:rPr>
            <w:t xml:space="preserve"> Findings from the Nanjing Yunjin Brocade Case Study</w:t>
          </w:r>
          <w:r>
            <w:tab/>
          </w:r>
          <w:r>
            <w:fldChar w:fldCharType="begin"/>
          </w:r>
          <w:r>
            <w:instrText xml:space="preserve"> PAGEREF _Toc2138 \h </w:instrText>
          </w:r>
          <w:r>
            <w:fldChar w:fldCharType="separate"/>
          </w:r>
          <w:r>
            <w:t>23</w:t>
          </w:r>
          <w:r>
            <w:fldChar w:fldCharType="end"/>
          </w:r>
          <w:r>
            <w:rPr>
              <w:rFonts w:hint="eastAsia"/>
            </w:rPr>
            <w:fldChar w:fldCharType="end"/>
          </w:r>
        </w:p>
        <w:p w14:paraId="2B41C1A0">
          <w:pPr>
            <w:pStyle w:val="11"/>
            <w:tabs>
              <w:tab w:val="right" w:leader="dot" w:pos="9026"/>
            </w:tabs>
          </w:pPr>
          <w:r>
            <w:rPr>
              <w:rFonts w:hint="eastAsia"/>
            </w:rPr>
            <w:fldChar w:fldCharType="begin"/>
          </w:r>
          <w:r>
            <w:rPr>
              <w:rFonts w:hint="eastAsia"/>
            </w:rPr>
            <w:instrText xml:space="preserve"> HYPERLINK \l _Toc6953 </w:instrText>
          </w:r>
          <w:r>
            <w:rPr>
              <w:rFonts w:hint="eastAsia"/>
            </w:rPr>
            <w:fldChar w:fldCharType="separate"/>
          </w:r>
          <w:r>
            <w:rPr>
              <w:rFonts w:hint="eastAsia"/>
              <w:lang w:val="en-US" w:eastAsia="zh-CN"/>
            </w:rPr>
            <w:t>3</w:t>
          </w:r>
          <w:r>
            <w:rPr>
              <w:rFonts w:hint="default"/>
              <w:lang w:val="en-US" w:eastAsia="zh-CN"/>
            </w:rPr>
            <w:t>.3</w:t>
          </w:r>
          <w:r>
            <w:rPr>
              <w:rFonts w:hint="eastAsia"/>
              <w:lang w:val="en-US" w:eastAsia="zh-CN"/>
            </w:rPr>
            <w:t xml:space="preserve"> Requirements Identified for Sustainable Heritage Transmission</w:t>
          </w:r>
          <w:r>
            <w:tab/>
          </w:r>
          <w:r>
            <w:fldChar w:fldCharType="begin"/>
          </w:r>
          <w:r>
            <w:instrText xml:space="preserve"> PAGEREF _Toc6953 \h </w:instrText>
          </w:r>
          <w:r>
            <w:fldChar w:fldCharType="separate"/>
          </w:r>
          <w:r>
            <w:t>23</w:t>
          </w:r>
          <w:r>
            <w:fldChar w:fldCharType="end"/>
          </w:r>
          <w:r>
            <w:rPr>
              <w:rFonts w:hint="eastAsia"/>
            </w:rPr>
            <w:fldChar w:fldCharType="end"/>
          </w:r>
        </w:p>
        <w:p w14:paraId="39108D33">
          <w:pPr>
            <w:pStyle w:val="10"/>
            <w:tabs>
              <w:tab w:val="right" w:leader="dot" w:pos="9026"/>
            </w:tabs>
          </w:pPr>
          <w:r>
            <w:rPr>
              <w:rFonts w:hint="eastAsia"/>
            </w:rPr>
            <w:fldChar w:fldCharType="begin"/>
          </w:r>
          <w:r>
            <w:rPr>
              <w:rFonts w:hint="eastAsia"/>
            </w:rPr>
            <w:instrText xml:space="preserve"> HYPERLINK \l _Toc4874 </w:instrText>
          </w:r>
          <w:r>
            <w:rPr>
              <w:rFonts w:hint="eastAsia"/>
            </w:rPr>
            <w:fldChar w:fldCharType="separate"/>
          </w:r>
          <w:r>
            <w:rPr>
              <w:rFonts w:hint="eastAsia"/>
              <w:lang w:val="en-US" w:eastAsia="zh-CN"/>
            </w:rPr>
            <w:t>4</w:t>
          </w:r>
          <w:r>
            <w:rPr>
              <w:rFonts w:hint="default"/>
              <w:lang w:val="en-US" w:eastAsia="zh-CN"/>
            </w:rPr>
            <w:t>.</w:t>
          </w:r>
          <w:r>
            <w:rPr>
              <w:rFonts w:hint="eastAsia"/>
              <w:lang w:val="en-US" w:eastAsia="zh-CN"/>
            </w:rPr>
            <w:t xml:space="preserve"> Discussion</w:t>
          </w:r>
          <w:r>
            <w:tab/>
          </w:r>
          <w:r>
            <w:fldChar w:fldCharType="begin"/>
          </w:r>
          <w:r>
            <w:instrText xml:space="preserve"> PAGEREF _Toc4874 \h </w:instrText>
          </w:r>
          <w:r>
            <w:fldChar w:fldCharType="separate"/>
          </w:r>
          <w:r>
            <w:t>25</w:t>
          </w:r>
          <w:r>
            <w:fldChar w:fldCharType="end"/>
          </w:r>
          <w:r>
            <w:rPr>
              <w:rFonts w:hint="eastAsia"/>
            </w:rPr>
            <w:fldChar w:fldCharType="end"/>
          </w:r>
        </w:p>
        <w:p w14:paraId="2A792F75">
          <w:pPr>
            <w:pStyle w:val="11"/>
            <w:tabs>
              <w:tab w:val="right" w:leader="dot" w:pos="9026"/>
            </w:tabs>
          </w:pPr>
          <w:r>
            <w:rPr>
              <w:rFonts w:hint="eastAsia"/>
            </w:rPr>
            <w:fldChar w:fldCharType="begin"/>
          </w:r>
          <w:r>
            <w:rPr>
              <w:rFonts w:hint="eastAsia"/>
            </w:rPr>
            <w:instrText xml:space="preserve"> HYPERLINK \l _Toc31792 </w:instrText>
          </w:r>
          <w:r>
            <w:rPr>
              <w:rFonts w:hint="eastAsia"/>
            </w:rPr>
            <w:fldChar w:fldCharType="separate"/>
          </w:r>
          <w:r>
            <w:rPr>
              <w:rFonts w:hint="eastAsia"/>
              <w:lang w:val="en-US" w:eastAsia="zh-CN"/>
            </w:rPr>
            <w:t>4</w:t>
          </w:r>
          <w:r>
            <w:rPr>
              <w:rFonts w:hint="default"/>
              <w:lang w:val="en-US" w:eastAsia="zh-CN"/>
            </w:rPr>
            <w:t>.1</w:t>
          </w:r>
          <w:r>
            <w:rPr>
              <w:rFonts w:hint="eastAsia"/>
              <w:lang w:val="en-US" w:eastAsia="zh-CN"/>
            </w:rPr>
            <w:t xml:space="preserve"> </w:t>
          </w:r>
          <w:r>
            <w:rPr>
              <w:rFonts w:hint="default"/>
              <w:lang w:val="en-US" w:eastAsia="zh-CN"/>
            </w:rPr>
            <w:t>Interpretation of Research Findings</w:t>
          </w:r>
          <w:r>
            <w:tab/>
          </w:r>
          <w:r>
            <w:fldChar w:fldCharType="begin"/>
          </w:r>
          <w:r>
            <w:instrText xml:space="preserve"> PAGEREF _Toc31792 \h </w:instrText>
          </w:r>
          <w:r>
            <w:fldChar w:fldCharType="separate"/>
          </w:r>
          <w:r>
            <w:t>25</w:t>
          </w:r>
          <w:r>
            <w:fldChar w:fldCharType="end"/>
          </w:r>
          <w:r>
            <w:rPr>
              <w:rFonts w:hint="eastAsia"/>
            </w:rPr>
            <w:fldChar w:fldCharType="end"/>
          </w:r>
        </w:p>
        <w:p w14:paraId="69033B21">
          <w:pPr>
            <w:pStyle w:val="11"/>
            <w:tabs>
              <w:tab w:val="right" w:leader="dot" w:pos="9026"/>
            </w:tabs>
          </w:pPr>
          <w:r>
            <w:rPr>
              <w:rFonts w:hint="eastAsia"/>
            </w:rPr>
            <w:fldChar w:fldCharType="begin"/>
          </w:r>
          <w:r>
            <w:rPr>
              <w:rFonts w:hint="eastAsia"/>
            </w:rPr>
            <w:instrText xml:space="preserve"> HYPERLINK \l _Toc26960 </w:instrText>
          </w:r>
          <w:r>
            <w:rPr>
              <w:rFonts w:hint="eastAsia"/>
            </w:rPr>
            <w:fldChar w:fldCharType="separate"/>
          </w:r>
          <w:r>
            <w:rPr>
              <w:rFonts w:hint="eastAsia"/>
              <w:lang w:val="en-US" w:eastAsia="zh-CN"/>
            </w:rPr>
            <w:t>4</w:t>
          </w:r>
          <w:r>
            <w:rPr>
              <w:rFonts w:hint="default"/>
              <w:lang w:val="en-US" w:eastAsia="zh-CN"/>
            </w:rPr>
            <w:t>.2</w:t>
          </w:r>
          <w:r>
            <w:rPr>
              <w:rFonts w:hint="eastAsia"/>
              <w:lang w:val="en-US" w:eastAsia="zh-CN"/>
            </w:rPr>
            <w:t xml:space="preserve"> </w:t>
          </w:r>
          <w:r>
            <w:rPr>
              <w:rFonts w:hint="default"/>
              <w:lang w:val="en-US" w:eastAsia="zh-CN"/>
            </w:rPr>
            <w:t>Response to Research Questions</w:t>
          </w:r>
          <w:r>
            <w:tab/>
          </w:r>
          <w:r>
            <w:fldChar w:fldCharType="begin"/>
          </w:r>
          <w:r>
            <w:instrText xml:space="preserve"> PAGEREF _Toc26960 \h </w:instrText>
          </w:r>
          <w:r>
            <w:fldChar w:fldCharType="separate"/>
          </w:r>
          <w:r>
            <w:t>25</w:t>
          </w:r>
          <w:r>
            <w:fldChar w:fldCharType="end"/>
          </w:r>
          <w:r>
            <w:rPr>
              <w:rFonts w:hint="eastAsia"/>
            </w:rPr>
            <w:fldChar w:fldCharType="end"/>
          </w:r>
        </w:p>
        <w:p w14:paraId="28A4737C">
          <w:pPr>
            <w:pStyle w:val="11"/>
            <w:tabs>
              <w:tab w:val="right" w:leader="dot" w:pos="9026"/>
            </w:tabs>
          </w:pPr>
          <w:r>
            <w:rPr>
              <w:rFonts w:hint="eastAsia"/>
            </w:rPr>
            <w:fldChar w:fldCharType="begin"/>
          </w:r>
          <w:r>
            <w:rPr>
              <w:rFonts w:hint="eastAsia"/>
            </w:rPr>
            <w:instrText xml:space="preserve"> HYPERLINK \l _Toc5994 </w:instrText>
          </w:r>
          <w:r>
            <w:rPr>
              <w:rFonts w:hint="eastAsia"/>
            </w:rPr>
            <w:fldChar w:fldCharType="separate"/>
          </w:r>
          <w:r>
            <w:rPr>
              <w:rFonts w:hint="eastAsia"/>
              <w:lang w:val="en-US" w:eastAsia="zh-CN"/>
            </w:rPr>
            <w:t>4</w:t>
          </w:r>
          <w:r>
            <w:rPr>
              <w:rFonts w:hint="default"/>
              <w:lang w:val="en-US" w:eastAsia="zh-CN"/>
            </w:rPr>
            <w:t>.3</w:t>
          </w:r>
          <w:r>
            <w:rPr>
              <w:rFonts w:hint="eastAsia"/>
              <w:lang w:val="en-US" w:eastAsia="zh-CN"/>
            </w:rPr>
            <w:t xml:space="preserve"> </w:t>
          </w:r>
          <w:r>
            <w:rPr>
              <w:rFonts w:hint="default"/>
              <w:lang w:val="en-US" w:eastAsia="zh-CN"/>
            </w:rPr>
            <w:t>Practical Implications</w:t>
          </w:r>
          <w:r>
            <w:tab/>
          </w:r>
          <w:r>
            <w:fldChar w:fldCharType="begin"/>
          </w:r>
          <w:r>
            <w:instrText xml:space="preserve"> PAGEREF _Toc5994 \h </w:instrText>
          </w:r>
          <w:r>
            <w:fldChar w:fldCharType="separate"/>
          </w:r>
          <w:r>
            <w:t>26</w:t>
          </w:r>
          <w:r>
            <w:fldChar w:fldCharType="end"/>
          </w:r>
          <w:r>
            <w:rPr>
              <w:rFonts w:hint="eastAsia"/>
            </w:rPr>
            <w:fldChar w:fldCharType="end"/>
          </w:r>
        </w:p>
        <w:p w14:paraId="2C935963">
          <w:pPr>
            <w:pStyle w:val="10"/>
            <w:tabs>
              <w:tab w:val="right" w:leader="dot" w:pos="9026"/>
            </w:tabs>
          </w:pPr>
          <w:r>
            <w:rPr>
              <w:rFonts w:hint="eastAsia"/>
            </w:rPr>
            <w:fldChar w:fldCharType="begin"/>
          </w:r>
          <w:r>
            <w:rPr>
              <w:rFonts w:hint="eastAsia"/>
            </w:rPr>
            <w:instrText xml:space="preserve"> HYPERLINK \l _Toc7966 </w:instrText>
          </w:r>
          <w:r>
            <w:rPr>
              <w:rFonts w:hint="eastAsia"/>
            </w:rPr>
            <w:fldChar w:fldCharType="separate"/>
          </w:r>
          <w:r>
            <w:rPr>
              <w:rFonts w:hint="eastAsia"/>
              <w:lang w:val="en-US" w:eastAsia="zh-CN"/>
            </w:rPr>
            <w:t>5</w:t>
          </w:r>
          <w:r>
            <w:rPr>
              <w:rFonts w:hint="default"/>
              <w:lang w:val="en-US" w:eastAsia="zh-CN"/>
            </w:rPr>
            <w:t>.</w:t>
          </w:r>
          <w:r>
            <w:rPr>
              <w:rFonts w:hint="eastAsia"/>
              <w:lang w:val="en-US" w:eastAsia="zh-CN"/>
            </w:rPr>
            <w:t xml:space="preserve"> Conclusion</w:t>
          </w:r>
          <w:r>
            <w:tab/>
          </w:r>
          <w:r>
            <w:fldChar w:fldCharType="begin"/>
          </w:r>
          <w:r>
            <w:instrText xml:space="preserve"> PAGEREF _Toc7966 \h </w:instrText>
          </w:r>
          <w:r>
            <w:fldChar w:fldCharType="separate"/>
          </w:r>
          <w:r>
            <w:t>27</w:t>
          </w:r>
          <w:r>
            <w:fldChar w:fldCharType="end"/>
          </w:r>
          <w:r>
            <w:rPr>
              <w:rFonts w:hint="eastAsia"/>
            </w:rPr>
            <w:fldChar w:fldCharType="end"/>
          </w:r>
        </w:p>
        <w:p w14:paraId="38A5E427">
          <w:pPr>
            <w:pStyle w:val="11"/>
            <w:tabs>
              <w:tab w:val="right" w:leader="dot" w:pos="9026"/>
            </w:tabs>
          </w:pPr>
          <w:r>
            <w:rPr>
              <w:rFonts w:hint="eastAsia"/>
            </w:rPr>
            <w:fldChar w:fldCharType="begin"/>
          </w:r>
          <w:r>
            <w:rPr>
              <w:rFonts w:hint="eastAsia"/>
            </w:rPr>
            <w:instrText xml:space="preserve"> HYPERLINK \l _Toc15017 </w:instrText>
          </w:r>
          <w:r>
            <w:rPr>
              <w:rFonts w:hint="eastAsia"/>
            </w:rPr>
            <w:fldChar w:fldCharType="separate"/>
          </w:r>
          <w:r>
            <w:rPr>
              <w:rFonts w:hint="eastAsia"/>
              <w:lang w:val="en-US" w:eastAsia="zh-CN"/>
            </w:rPr>
            <w:t>5</w:t>
          </w:r>
          <w:r>
            <w:rPr>
              <w:rFonts w:hint="default"/>
              <w:lang w:val="en-US" w:eastAsia="zh-CN"/>
            </w:rPr>
            <w:t>.1</w:t>
          </w:r>
          <w:r>
            <w:rPr>
              <w:rFonts w:hint="eastAsia"/>
              <w:lang w:val="en-US" w:eastAsia="zh-CN"/>
            </w:rPr>
            <w:t xml:space="preserve"> </w:t>
          </w:r>
          <w:r>
            <w:rPr>
              <w:rFonts w:hint="default"/>
              <w:lang w:val="en-US" w:eastAsia="zh-CN"/>
            </w:rPr>
            <w:t>Limitations and Future Research</w:t>
          </w:r>
          <w:r>
            <w:tab/>
          </w:r>
          <w:r>
            <w:fldChar w:fldCharType="begin"/>
          </w:r>
          <w:r>
            <w:instrText xml:space="preserve"> PAGEREF _Toc15017 \h </w:instrText>
          </w:r>
          <w:r>
            <w:fldChar w:fldCharType="separate"/>
          </w:r>
          <w:r>
            <w:t>27</w:t>
          </w:r>
          <w:r>
            <w:fldChar w:fldCharType="end"/>
          </w:r>
          <w:r>
            <w:rPr>
              <w:rFonts w:hint="eastAsia"/>
            </w:rPr>
            <w:fldChar w:fldCharType="end"/>
          </w:r>
        </w:p>
        <w:p w14:paraId="30F7B377">
          <w:pPr>
            <w:pStyle w:val="10"/>
            <w:tabs>
              <w:tab w:val="right" w:leader="dot" w:pos="9026"/>
            </w:tabs>
          </w:pPr>
          <w:r>
            <w:rPr>
              <w:rFonts w:hint="eastAsia"/>
            </w:rPr>
            <w:fldChar w:fldCharType="begin"/>
          </w:r>
          <w:r>
            <w:rPr>
              <w:rFonts w:hint="eastAsia"/>
            </w:rPr>
            <w:instrText xml:space="preserve"> HYPERLINK \l _Toc22015 </w:instrText>
          </w:r>
          <w:r>
            <w:rPr>
              <w:rFonts w:hint="eastAsia"/>
            </w:rPr>
            <w:fldChar w:fldCharType="separate"/>
          </w:r>
          <w:r>
            <w:rPr>
              <w:rFonts w:hint="eastAsia"/>
              <w:lang w:val="en-US" w:eastAsia="zh-CN"/>
            </w:rPr>
            <w:t>References</w:t>
          </w:r>
          <w:r>
            <w:tab/>
          </w:r>
          <w:r>
            <w:fldChar w:fldCharType="begin"/>
          </w:r>
          <w:r>
            <w:instrText xml:space="preserve"> PAGEREF _Toc22015 \h </w:instrText>
          </w:r>
          <w:r>
            <w:fldChar w:fldCharType="separate"/>
          </w:r>
          <w:r>
            <w:t>29</w:t>
          </w:r>
          <w:r>
            <w:fldChar w:fldCharType="end"/>
          </w:r>
          <w:r>
            <w:rPr>
              <w:rFonts w:hint="eastAsia"/>
            </w:rPr>
            <w:fldChar w:fldCharType="end"/>
          </w:r>
        </w:p>
        <w:p w14:paraId="04CFBE47">
          <w:pPr>
            <w:bidi w:val="0"/>
            <w:rPr>
              <w:rFonts w:hint="eastAsia" w:ascii="Times New Roman" w:hAnsi="Times New Roman" w:eastAsiaTheme="minorEastAsia" w:cstheme="minorBidi"/>
              <w:kern w:val="2"/>
              <w:sz w:val="24"/>
              <w:szCs w:val="24"/>
              <w:lang w:val="en-US" w:eastAsia="zh-CN" w:bidi="ar-SA"/>
            </w:rPr>
          </w:pPr>
          <w:r>
            <w:rPr>
              <w:rFonts w:hint="eastAsia"/>
            </w:rPr>
            <w:fldChar w:fldCharType="end"/>
          </w:r>
        </w:p>
      </w:sdtContent>
    </w:sdt>
    <w:p w14:paraId="31496EA4">
      <w:pPr>
        <w:bidi w:val="0"/>
        <w:rPr>
          <w:rFonts w:hint="eastAsia" w:ascii="Times New Roman" w:hAnsi="Times New Roman" w:eastAsiaTheme="minorEastAsia" w:cstheme="minorBidi"/>
          <w:kern w:val="2"/>
          <w:sz w:val="24"/>
          <w:szCs w:val="24"/>
          <w:lang w:val="en-US" w:eastAsia="zh-CN" w:bidi="ar-SA"/>
        </w:rPr>
      </w:pPr>
    </w:p>
    <w:p w14:paraId="1A0005A1">
      <w:pPr>
        <w:pStyle w:val="2"/>
        <w:bidi w:val="0"/>
        <w:jc w:val="center"/>
        <w:rPr>
          <w:rFonts w:hint="eastAsia"/>
          <w:lang w:val="en-US" w:eastAsia="zh-CN"/>
        </w:rPr>
      </w:pPr>
    </w:p>
    <w:p w14:paraId="52729035">
      <w:pPr>
        <w:rPr>
          <w:rFonts w:hint="eastAsia"/>
          <w:lang w:val="en-US" w:eastAsia="zh-CN"/>
        </w:rPr>
        <w:sectPr>
          <w:footerReference r:id="rId5" w:type="default"/>
          <w:pgSz w:w="11906" w:h="16838"/>
          <w:pgMar w:top="1440" w:right="1440" w:bottom="1440" w:left="144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A26D8A6">
      <w:pPr>
        <w:pStyle w:val="2"/>
        <w:bidi w:val="0"/>
        <w:jc w:val="center"/>
        <w:rPr>
          <w:rFonts w:hint="eastAsia"/>
          <w:lang w:val="en-US" w:eastAsia="zh-CN"/>
        </w:rPr>
      </w:pPr>
      <w:bookmarkStart w:id="1" w:name="_Toc7283"/>
      <w:r>
        <w:rPr>
          <w:rFonts w:hint="eastAsia"/>
          <w:lang w:val="en-US" w:eastAsia="zh-CN"/>
        </w:rPr>
        <w:t>1. Introduction</w:t>
      </w:r>
      <w:bookmarkEnd w:id="1"/>
    </w:p>
    <w:p w14:paraId="38A8839C">
      <w:pPr>
        <w:pStyle w:val="3"/>
        <w:bidi w:val="0"/>
        <w:rPr>
          <w:rFonts w:hint="default" w:ascii="Times New Roman" w:hAnsi="Times New Roman" w:cs="Times New Roman"/>
          <w:sz w:val="24"/>
          <w:szCs w:val="24"/>
          <w:lang w:val="en-US" w:eastAsia="zh-CN"/>
        </w:rPr>
      </w:pPr>
      <w:bookmarkStart w:id="2" w:name="_Toc21526"/>
      <w:r>
        <w:rPr>
          <w:rFonts w:hint="default" w:ascii="Times New Roman" w:hAnsi="Times New Roman" w:cs="Times New Roman"/>
          <w:sz w:val="24"/>
          <w:szCs w:val="24"/>
          <w:lang w:val="en-US" w:eastAsia="zh-CN"/>
        </w:rPr>
        <w:t>1.1 Background and Importance of Intangible Cultural Heritage Preservation</w:t>
      </w:r>
      <w:bookmarkEnd w:id="2"/>
    </w:p>
    <w:p w14:paraId="1F122EB5">
      <w:pPr>
        <w:bidi w:val="0"/>
        <w:ind w:firstLine="480" w:firstLineChars="200"/>
        <w:rPr>
          <w:rFonts w:hint="eastAsia"/>
          <w:lang w:val="en-US" w:eastAsia="zh-CN"/>
        </w:rPr>
      </w:pPr>
      <w:r>
        <w:rPr>
          <w:rFonts w:hint="eastAsia"/>
          <w:lang w:val="en-US" w:eastAsia="zh-CN"/>
        </w:rPr>
        <w:t>Intangible Cultural Heritage represents a vital record of a people's history and cultural identity</w:t>
      </w:r>
      <w:r>
        <w:rPr>
          <w:rFonts w:hint="eastAsia"/>
          <w:lang w:val="en-US" w:eastAsia="zh-CN"/>
        </w:rPr>
        <w:fldChar w:fldCharType="begin"/>
      </w:r>
      <w:r>
        <w:rPr>
          <w:rFonts w:hint="eastAsia"/>
          <w:lang w:val="en-US" w:eastAsia="zh-CN"/>
        </w:rPr>
        <w:instrText xml:space="preserve"> REF _Ref29309 \r \h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Unlike tangible heritage, which can be physically preserved, intangible heritage depends heavily on continuous practice, transmission, and social participation. However, rapid urbanization, demographic shifts, and changing lifestyles have significantly challenged the survival and transmission of traditional crafts worldwide</w:t>
      </w:r>
      <w:r>
        <w:rPr>
          <w:rFonts w:hint="eastAsia"/>
          <w:lang w:val="en-US" w:eastAsia="zh-CN"/>
        </w:rPr>
        <w:fldChar w:fldCharType="begin"/>
      </w:r>
      <w:r>
        <w:rPr>
          <w:rFonts w:hint="eastAsia"/>
          <w:lang w:val="en-US" w:eastAsia="zh-CN"/>
        </w:rPr>
        <w:instrText xml:space="preserve"> REF _Ref5273 \r \h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p>
    <w:p w14:paraId="0DD9152E">
      <w:pPr>
        <w:pStyle w:val="3"/>
        <w:bidi w:val="0"/>
        <w:rPr>
          <w:rFonts w:hint="default"/>
          <w:lang w:val="en-US" w:eastAsia="zh-CN"/>
        </w:rPr>
      </w:pPr>
      <w:bookmarkStart w:id="3" w:name="_Toc9426"/>
      <w:r>
        <w:rPr>
          <w:rFonts w:hint="eastAsia"/>
          <w:lang w:val="en-US" w:eastAsia="zh-CN"/>
        </w:rPr>
        <w:t>1.2 Challenges Facing Contemporary Heritage Transmission</w:t>
      </w:r>
      <w:bookmarkEnd w:id="3"/>
    </w:p>
    <w:p w14:paraId="7CC0DB33">
      <w:pPr>
        <w:bidi w:val="0"/>
        <w:ind w:firstLine="480" w:firstLineChars="200"/>
        <w:rPr>
          <w:rFonts w:hint="eastAsia"/>
          <w:lang w:val="en-US" w:eastAsia="zh-CN"/>
        </w:rPr>
      </w:pPr>
      <w:r>
        <w:rPr>
          <w:rFonts w:hint="default"/>
          <w:lang w:val="en-US" w:eastAsia="zh-CN"/>
        </w:rPr>
        <w:t>One of the most critical challenges is the declining involvement of younger generations. Many traditional crafts require years of apprenticeship, and modern career paths and lifestyles often discourage young people from engaging in heritage transmission</w:t>
      </w:r>
      <w:r>
        <w:rPr>
          <w:rFonts w:hint="default"/>
          <w:lang w:val="en-US" w:eastAsia="zh-CN"/>
        </w:rPr>
        <w:fldChar w:fldCharType="begin"/>
      </w:r>
      <w:r>
        <w:rPr>
          <w:rFonts w:hint="default"/>
          <w:lang w:val="en-US" w:eastAsia="zh-CN"/>
        </w:rPr>
        <w:instrText xml:space="preserve"> REF _Ref28169 \r \h </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default"/>
          <w:lang w:val="en-US" w:eastAsia="zh-CN"/>
        </w:rPr>
        <w:t>.</w:t>
      </w:r>
    </w:p>
    <w:p w14:paraId="7A599C3D">
      <w:pPr>
        <w:bidi w:val="0"/>
        <w:ind w:firstLine="480" w:firstLineChars="200"/>
        <w:rPr>
          <w:rFonts w:hint="eastAsia"/>
          <w:lang w:val="en-US" w:eastAsia="zh-CN"/>
        </w:rPr>
      </w:pPr>
      <w:r>
        <w:rPr>
          <w:rFonts w:hint="default"/>
          <w:lang w:val="en-US" w:eastAsia="zh-CN"/>
        </w:rPr>
        <w:t>Although digital technologies have created new opportunities for heritage preservation, most existing approaches remain focused on documentation and digital archiving</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[5,8]</w:t>
      </w:r>
      <w:r>
        <w:rPr>
          <w:rFonts w:hint="default"/>
          <w:lang w:val="en-US" w:eastAsia="zh-CN"/>
        </w:rPr>
        <w:fldChar w:fldCharType="end"/>
      </w:r>
      <w:r>
        <w:rPr>
          <w:rFonts w:hint="default"/>
          <w:lang w:val="en-US" w:eastAsia="zh-CN"/>
        </w:rPr>
        <w:t>. While these methods effectively record cultural information</w:t>
      </w:r>
      <w:r>
        <w:rPr>
          <w:rFonts w:hint="default"/>
          <w:lang w:val="en-US" w:eastAsia="zh-CN"/>
        </w:rPr>
        <w:fldChar w:fldCharType="begin"/>
      </w:r>
      <w:r>
        <w:rPr>
          <w:rFonts w:hint="default"/>
          <w:lang w:val="en-US" w:eastAsia="zh-CN"/>
        </w:rPr>
        <w:instrText xml:space="preserve"> REF _Ref28672 \r \h </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default"/>
          <w:lang w:val="en-US" w:eastAsia="zh-CN"/>
        </w:rPr>
        <w:t>, they often fail to foster meaningful interaction between heritage and contemporary audiences, particularly younger generations</w:t>
      </w:r>
      <w:r>
        <w:rPr>
          <w:rFonts w:hint="default"/>
          <w:lang w:val="en-US" w:eastAsia="zh-CN"/>
        </w:rPr>
        <w:fldChar w:fldCharType="begin"/>
      </w:r>
      <w:r>
        <w:rPr>
          <w:rFonts w:hint="default"/>
          <w:lang w:val="en-US" w:eastAsia="zh-CN"/>
        </w:rPr>
        <w:instrText xml:space="preserve"> REF _Ref26360 \r \h </w:instrText>
      </w:r>
      <w:r>
        <w:rPr>
          <w:rFonts w:hint="default"/>
          <w:lang w:val="en-US" w:eastAsia="zh-CN"/>
        </w:rPr>
        <w:fldChar w:fldCharType="separate"/>
      </w:r>
      <w:r>
        <w:rPr>
          <w:rFonts w:hint="default"/>
          <w:lang w:val="en-US" w:eastAsia="zh-CN"/>
        </w:rPr>
        <w:t>[</w:t>
      </w:r>
      <w:r>
        <w:rPr>
          <w:rFonts w:hint="eastAsia"/>
          <w:lang w:val="en-US" w:eastAsia="zh-CN"/>
        </w:rPr>
        <w:t>11</w:t>
      </w:r>
      <w:r>
        <w:rPr>
          <w:rFonts w:hint="default"/>
          <w:lang w:val="en-US" w:eastAsia="zh-CN"/>
        </w:rPr>
        <w:t>]</w:t>
      </w:r>
      <w:r>
        <w:rPr>
          <w:rFonts w:hint="default"/>
          <w:lang w:val="en-US" w:eastAsia="zh-CN"/>
        </w:rPr>
        <w:fldChar w:fldCharType="end"/>
      </w:r>
      <w:r>
        <w:rPr>
          <w:rFonts w:hint="eastAsia"/>
          <w:lang w:val="en-US" w:eastAsia="zh-CN"/>
        </w:rPr>
        <w:t>.</w:t>
      </w:r>
    </w:p>
    <w:p w14:paraId="6306A9B6">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Table 1 </w:t>
      </w:r>
    </w:p>
    <w:p w14:paraId="00E1E596">
      <w:pPr>
        <w:bidi w:val="0"/>
        <w:rPr>
          <w:rFonts w:hint="default"/>
          <w:b w:val="0"/>
          <w:bCs w:val="0"/>
          <w:i/>
          <w:iCs/>
          <w:lang w:val="en-US" w:eastAsia="zh-CN"/>
        </w:rPr>
      </w:pPr>
      <w:r>
        <w:rPr>
          <w:rFonts w:hint="eastAsia"/>
          <w:b w:val="0"/>
          <w:bCs w:val="0"/>
          <w:i/>
          <w:iCs/>
          <w:lang w:val="en-US" w:eastAsia="zh-CN"/>
        </w:rPr>
        <w:t>Barriers to youth participation and the proposed framework</w:t>
      </w:r>
    </w:p>
    <w:tbl>
      <w:tblPr>
        <w:tblStyle w:val="1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9"/>
        <w:gridCol w:w="4070"/>
        <w:gridCol w:w="2695"/>
      </w:tblGrid>
      <w:tr w14:paraId="1C8D1B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369" w:type="dxa"/>
            <w:tcBorders>
              <w:top w:val="single" w:color="000000" w:sz="12" w:space="0"/>
              <w:bottom w:val="single" w:color="000000" w:sz="4" w:space="0"/>
              <w:tl2br w:val="nil"/>
              <w:tr2bl w:val="nil"/>
            </w:tcBorders>
            <w:shd w:val="clear" w:color="auto" w:fill="FFFFFF"/>
          </w:tcPr>
          <w:p w14:paraId="57D84464">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Barrier</w:t>
            </w:r>
          </w:p>
        </w:tc>
        <w:tc>
          <w:tcPr>
            <w:tcW w:w="0" w:type="auto"/>
            <w:tcBorders>
              <w:top w:val="single" w:color="000000" w:sz="12" w:space="0"/>
              <w:bottom w:val="single" w:color="000000" w:sz="4" w:space="0"/>
              <w:tl2br w:val="nil"/>
              <w:tr2bl w:val="nil"/>
            </w:tcBorders>
            <w:shd w:val="clear" w:color="auto" w:fill="FFFFFF"/>
          </w:tcPr>
          <w:p w14:paraId="20CDD872">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Manifestation</w:t>
            </w:r>
          </w:p>
        </w:tc>
        <w:tc>
          <w:tcPr>
            <w:tcW w:w="0" w:type="auto"/>
            <w:tcBorders>
              <w:top w:val="single" w:color="000000" w:sz="12" w:space="0"/>
              <w:bottom w:val="single" w:color="000000" w:sz="4" w:space="0"/>
              <w:tl2br w:val="nil"/>
              <w:tr2bl w:val="nil"/>
            </w:tcBorders>
            <w:shd w:val="clear" w:color="auto" w:fill="FFFFFF"/>
          </w:tcPr>
          <w:p w14:paraId="48449695">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Addressed by this framework</w:t>
            </w:r>
          </w:p>
        </w:tc>
      </w:tr>
      <w:tr w14:paraId="754D15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9" w:type="dxa"/>
            <w:tcBorders>
              <w:top w:val="single" w:color="000000" w:sz="4" w:space="0"/>
              <w:tl2br w:val="nil"/>
              <w:tr2bl w:val="nil"/>
            </w:tcBorders>
            <w:shd w:val="clear" w:color="auto" w:fill="FFFFFF"/>
          </w:tcPr>
          <w:p w14:paraId="7040E8F2">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Awareness</w:t>
            </w:r>
          </w:p>
        </w:tc>
        <w:tc>
          <w:tcPr>
            <w:tcW w:w="0" w:type="auto"/>
            <w:tcBorders>
              <w:top w:val="single" w:color="000000" w:sz="4" w:space="0"/>
              <w:tl2br w:val="nil"/>
              <w:tr2bl w:val="nil"/>
            </w:tcBorders>
            <w:shd w:val="clear" w:color="auto" w:fill="FFFFFF"/>
          </w:tcPr>
          <w:p w14:paraId="63F4CDA5">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Unaware of what Yunjin is or why it matters</w:t>
            </w:r>
          </w:p>
        </w:tc>
        <w:tc>
          <w:tcPr>
            <w:tcW w:w="0" w:type="auto"/>
            <w:tcBorders>
              <w:top w:val="single" w:color="000000" w:sz="4" w:space="0"/>
              <w:tl2br w:val="nil"/>
              <w:tr2bl w:val="nil"/>
            </w:tcBorders>
            <w:shd w:val="clear" w:color="auto" w:fill="FFFFFF"/>
          </w:tcPr>
          <w:p w14:paraId="3A7F4F8D">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Yes</w:t>
            </w:r>
          </w:p>
        </w:tc>
      </w:tr>
      <w:tr w14:paraId="7CE6F3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9" w:type="dxa"/>
            <w:tcBorders>
              <w:tl2br w:val="nil"/>
              <w:tr2bl w:val="nil"/>
            </w:tcBorders>
            <w:shd w:val="clear" w:color="auto" w:fill="FFFFFF"/>
          </w:tcPr>
          <w:p w14:paraId="46C0451C">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Interest</w:t>
            </w:r>
          </w:p>
        </w:tc>
        <w:tc>
          <w:tcPr>
            <w:tcW w:w="0" w:type="auto"/>
            <w:tcBorders>
              <w:tl2br w:val="nil"/>
              <w:tr2bl w:val="nil"/>
            </w:tcBorders>
            <w:shd w:val="clear" w:color="auto" w:fill="FFFFFF"/>
          </w:tcPr>
          <w:p w14:paraId="63AE246A">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Perceived as archaic and personally irrelevant</w:t>
            </w:r>
          </w:p>
        </w:tc>
        <w:tc>
          <w:tcPr>
            <w:tcW w:w="0" w:type="auto"/>
            <w:tcBorders>
              <w:tl2br w:val="nil"/>
              <w:tr2bl w:val="nil"/>
            </w:tcBorders>
            <w:shd w:val="clear" w:color="auto" w:fill="FFFFFF"/>
          </w:tcPr>
          <w:p w14:paraId="1BD0CDAA">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Yes</w:t>
            </w:r>
          </w:p>
        </w:tc>
      </w:tr>
      <w:tr w14:paraId="0373CC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9" w:type="dxa"/>
            <w:tcBorders>
              <w:bottom w:val="single" w:color="000000" w:sz="12" w:space="0"/>
              <w:tl2br w:val="nil"/>
              <w:tr2bl w:val="nil"/>
            </w:tcBorders>
            <w:shd w:val="clear" w:color="auto" w:fill="FFFFFF"/>
          </w:tcPr>
          <w:p w14:paraId="58CF68C5">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Skill</w:t>
            </w:r>
          </w:p>
        </w:tc>
        <w:tc>
          <w:tcPr>
            <w:tcW w:w="0" w:type="auto"/>
            <w:tcBorders>
              <w:bottom w:val="single" w:color="000000" w:sz="12" w:space="0"/>
              <w:tl2br w:val="nil"/>
              <w:tr2bl w:val="nil"/>
            </w:tcBorders>
            <w:shd w:val="clear" w:color="auto" w:fill="FFFFFF"/>
          </w:tcPr>
          <w:p w14:paraId="740B28A8">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No low-cost entry point for trial and error</w:t>
            </w:r>
          </w:p>
        </w:tc>
        <w:tc>
          <w:tcPr>
            <w:tcW w:w="0" w:type="auto"/>
            <w:tcBorders>
              <w:bottom w:val="single" w:color="000000" w:sz="12" w:space="0"/>
              <w:tl2br w:val="nil"/>
              <w:tr2bl w:val="nil"/>
            </w:tcBorders>
            <w:shd w:val="clear" w:color="auto" w:fill="FFFFFF"/>
          </w:tcPr>
          <w:p w14:paraId="568C4068">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Partially</w:t>
            </w:r>
          </w:p>
        </w:tc>
      </w:tr>
    </w:tbl>
    <w:p w14:paraId="18EE0D2E">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Continued Table 1</w:t>
      </w:r>
    </w:p>
    <w:tbl>
      <w:tblPr>
        <w:tblStyle w:val="1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8"/>
        <w:gridCol w:w="4624"/>
        <w:gridCol w:w="2695"/>
      </w:tblGrid>
      <w:tr w14:paraId="08BDE6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top w:val="single" w:color="000000" w:sz="12" w:space="0"/>
              <w:bottom w:val="single" w:color="000000" w:sz="4" w:space="0"/>
              <w:tl2br w:val="nil"/>
              <w:tr2bl w:val="nil"/>
            </w:tcBorders>
            <w:shd w:val="clear" w:color="auto" w:fill="FFFFFF"/>
          </w:tcPr>
          <w:p w14:paraId="65DD064C">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Barrier</w:t>
            </w:r>
          </w:p>
        </w:tc>
        <w:tc>
          <w:tcPr>
            <w:tcW w:w="0" w:type="auto"/>
            <w:tcBorders>
              <w:top w:val="single" w:color="000000" w:sz="12" w:space="0"/>
              <w:bottom w:val="single" w:color="000000" w:sz="4" w:space="0"/>
              <w:tl2br w:val="nil"/>
              <w:tr2bl w:val="nil"/>
            </w:tcBorders>
            <w:shd w:val="clear" w:color="auto" w:fill="FFFFFF"/>
          </w:tcPr>
          <w:p w14:paraId="51E8FFB8">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Manifestation</w:t>
            </w:r>
          </w:p>
        </w:tc>
        <w:tc>
          <w:tcPr>
            <w:tcW w:w="0" w:type="auto"/>
            <w:tcBorders>
              <w:top w:val="single" w:color="000000" w:sz="12" w:space="0"/>
              <w:bottom w:val="single" w:color="000000" w:sz="4" w:space="0"/>
              <w:tl2br w:val="nil"/>
              <w:tr2bl w:val="nil"/>
            </w:tcBorders>
            <w:shd w:val="clear" w:color="auto" w:fill="FFFFFF"/>
          </w:tcPr>
          <w:p w14:paraId="0B3C55AC">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Addressed by this framework</w:t>
            </w:r>
          </w:p>
        </w:tc>
      </w:tr>
      <w:tr w14:paraId="700FD3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4" w:space="0"/>
              <w:bottom w:val="single" w:color="000000" w:sz="12" w:space="0"/>
              <w:tl2br w:val="nil"/>
              <w:tr2bl w:val="nil"/>
            </w:tcBorders>
            <w:shd w:val="clear" w:color="auto" w:fill="FFFFFF"/>
          </w:tcPr>
          <w:p w14:paraId="6D5BEB80">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Economic</w:t>
            </w:r>
          </w:p>
        </w:tc>
        <w:tc>
          <w:tcPr>
            <w:tcW w:w="0" w:type="auto"/>
            <w:tcBorders>
              <w:top w:val="single" w:color="000000" w:sz="4" w:space="0"/>
              <w:bottom w:val="single" w:color="000000" w:sz="12" w:space="0"/>
              <w:tl2br w:val="nil"/>
              <w:tr2bl w:val="nil"/>
            </w:tcBorders>
            <w:shd w:val="clear" w:color="auto" w:fill="FFFFFF"/>
          </w:tcPr>
          <w:p w14:paraId="774A83BC">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Long training, uncertain income, unclear career path</w:t>
            </w:r>
          </w:p>
        </w:tc>
        <w:tc>
          <w:tcPr>
            <w:tcW w:w="0" w:type="auto"/>
            <w:tcBorders>
              <w:top w:val="single" w:color="000000" w:sz="4" w:space="0"/>
              <w:bottom w:val="single" w:color="000000" w:sz="12" w:space="0"/>
              <w:tl2br w:val="nil"/>
              <w:tr2bl w:val="nil"/>
            </w:tcBorders>
            <w:shd w:val="clear" w:color="auto" w:fill="FFFFFF"/>
          </w:tcPr>
          <w:p w14:paraId="22B0C7C4">
            <w:pPr>
              <w:bidi w:val="0"/>
              <w:jc w:val="center"/>
              <w:rPr>
                <w:rFonts w:hint="eastAsia" w:cs="Times New Roman"/>
                <w:b w:val="0"/>
                <w:color w:val="000000"/>
                <w:sz w:val="21"/>
                <w:szCs w:val="21"/>
                <w:lang w:val="en-US" w:eastAsia="zh-CN"/>
              </w:rPr>
            </w:pPr>
            <w:r>
              <w:rPr>
                <w:rFonts w:hint="eastAsia" w:cs="Times New Roman"/>
                <w:b w:val="0"/>
                <w:color w:val="000000"/>
                <w:sz w:val="21"/>
                <w:szCs w:val="21"/>
                <w:lang w:val="en-US" w:eastAsia="zh-CN"/>
              </w:rPr>
              <w:t>Not directly</w:t>
            </w:r>
          </w:p>
        </w:tc>
      </w:tr>
    </w:tbl>
    <w:p w14:paraId="79EF1E95">
      <w:pPr>
        <w:bidi w:val="0"/>
        <w:spacing w:before="0" w:beforeLines="0" w:after="0" w:afterLines="0" w:line="240" w:lineRule="auto"/>
        <w:rPr>
          <w:rFonts w:hint="default"/>
          <w:lang w:val="en-US" w:eastAsia="zh-CN"/>
        </w:rPr>
      </w:pPr>
    </w:p>
    <w:p w14:paraId="017BB194">
      <w:pPr>
        <w:bidi w:val="0"/>
        <w:ind w:firstLine="480" w:firstLineChars="200"/>
        <w:rPr>
          <w:rFonts w:hint="default"/>
          <w:lang w:val="en-US" w:eastAsia="zh-CN"/>
        </w:rPr>
      </w:pPr>
      <w:r>
        <w:rPr>
          <w:rFonts w:hint="default"/>
          <w:lang w:val="en-US" w:eastAsia="zh-CN"/>
        </w:rPr>
        <w:t>The proposed framework addresses the first two barriers directly and partially mitigates the third. It does not claim to resolve the economic barrier, although the benefit-sharing mechanism described in Section 2.4.5 constitutes an initial response to it.</w:t>
      </w:r>
    </w:p>
    <w:p w14:paraId="60CBBB6A">
      <w:pPr>
        <w:pStyle w:val="3"/>
        <w:bidi w:val="0"/>
        <w:rPr>
          <w:rFonts w:hint="default"/>
          <w:lang w:val="en-US" w:eastAsia="zh-CN"/>
        </w:rPr>
      </w:pPr>
      <w:bookmarkStart w:id="4" w:name="_Toc15458"/>
      <w:r>
        <w:rPr>
          <w:rFonts w:hint="eastAsia"/>
          <w:lang w:val="en-US" w:eastAsia="zh-CN"/>
        </w:rPr>
        <w:t>1.3 Limitations of Existing Digital Preservation Approaches</w:t>
      </w:r>
      <w:bookmarkEnd w:id="4"/>
    </w:p>
    <w:p w14:paraId="3AC28914">
      <w:pPr>
        <w:bidi w:val="0"/>
        <w:ind w:firstLine="480" w:firstLineChars="200"/>
        <w:rPr>
          <w:rFonts w:hint="eastAsia"/>
          <w:lang w:val="en-US" w:eastAsia="zh-CN"/>
        </w:rPr>
      </w:pPr>
      <w:r>
        <w:rPr>
          <w:rFonts w:hint="default"/>
          <w:lang w:val="en-US" w:eastAsia="zh-CN"/>
        </w:rPr>
        <w:t>Despite growing academic and practical attention to digital heritage preservation, current studies tend to examine individual technologies in isolation, such as artificial intelligence, virtual reality, or digital documentation systems</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7,14</w:t>
      </w:r>
      <w:r>
        <w:rPr>
          <w:rFonts w:hint="default"/>
          <w:lang w:val="en-US" w:eastAsia="zh-CN"/>
        </w:rPr>
        <w:t>]</w:t>
      </w:r>
      <w:r>
        <w:rPr>
          <w:rFonts w:hint="default"/>
          <w:lang w:val="en-US" w:eastAsia="zh-CN"/>
        </w:rPr>
        <w:fldChar w:fldCharType="end"/>
      </w:r>
      <w:r>
        <w:rPr>
          <w:rFonts w:hint="default"/>
          <w:lang w:val="en-US" w:eastAsia="zh-CN"/>
        </w:rPr>
        <w:t>. A comprehensive framework integrating emerging technologies with community participation and youth engagement remains underexplored.</w:t>
      </w:r>
    </w:p>
    <w:p w14:paraId="74BC3326">
      <w:pPr>
        <w:pStyle w:val="3"/>
        <w:bidi w:val="0"/>
        <w:rPr>
          <w:rFonts w:hint="default"/>
          <w:lang w:val="en-US" w:eastAsia="zh-CN"/>
        </w:rPr>
      </w:pPr>
      <w:bookmarkStart w:id="5" w:name="_Toc18011"/>
      <w:r>
        <w:rPr>
          <w:rFonts w:hint="eastAsia"/>
          <w:lang w:val="en-US" w:eastAsia="zh-CN"/>
        </w:rPr>
        <w:t>1.4 Research Gap and Research Questions</w:t>
      </w:r>
      <w:bookmarkEnd w:id="5"/>
    </w:p>
    <w:p w14:paraId="6185D43A">
      <w:pPr>
        <w:bidi w:val="0"/>
        <w:ind w:firstLine="480" w:firstLineChars="200"/>
        <w:rPr>
          <w:rFonts w:hint="default"/>
          <w:lang w:val="en-US" w:eastAsia="zh-CN"/>
        </w:rPr>
      </w:pPr>
      <w:r>
        <w:rPr>
          <w:rFonts w:hint="default"/>
          <w:lang w:val="en-US" w:eastAsia="zh-CN"/>
        </w:rPr>
        <w:t>To address these gaps, this study explores the integration of emerging technologies into the preservation and transmission of intangible cultural heritage (ICH). Specifically, it addresses the following three interconnected research questions:</w:t>
      </w:r>
    </w:p>
    <w:p w14:paraId="7552CD18">
      <w:pPr>
        <w:bidi w:val="0"/>
        <w:ind w:firstLine="482" w:firstLineChars="200"/>
        <w:rPr>
          <w:rFonts w:hint="default"/>
          <w:lang w:val="en-US" w:eastAsia="zh-CN"/>
        </w:rPr>
      </w:pPr>
      <w:r>
        <w:rPr>
          <w:rFonts w:hint="default"/>
          <w:b/>
          <w:bCs/>
          <w:lang w:val="en-US" w:eastAsia="zh-CN"/>
        </w:rPr>
        <w:t>RQ1:</w:t>
      </w:r>
      <w:r>
        <w:rPr>
          <w:rFonts w:hint="default"/>
          <w:lang w:val="en-US" w:eastAsia="zh-CN"/>
        </w:rPr>
        <w:t xml:space="preserve"> How can emerging digital technologies contribute to the sustainable transmission of intangible cultural heritage?</w:t>
      </w:r>
    </w:p>
    <w:p w14:paraId="7C625B3C">
      <w:pPr>
        <w:bidi w:val="0"/>
        <w:ind w:firstLine="482" w:firstLineChars="200"/>
        <w:rPr>
          <w:rFonts w:hint="default"/>
          <w:lang w:val="en-US" w:eastAsia="zh-CN"/>
        </w:rPr>
      </w:pPr>
      <w:r>
        <w:rPr>
          <w:rFonts w:hint="default"/>
          <w:b/>
          <w:bCs/>
          <w:lang w:val="en-US" w:eastAsia="zh-CN"/>
        </w:rPr>
        <w:t xml:space="preserve">RQ2: </w:t>
      </w:r>
      <w:r>
        <w:rPr>
          <w:rFonts w:hint="default"/>
          <w:lang w:val="en-US" w:eastAsia="zh-CN"/>
        </w:rPr>
        <w:t>What limitations exist in current digital heritage preservation approaches?</w:t>
      </w:r>
    </w:p>
    <w:p w14:paraId="6FA2A222">
      <w:pPr>
        <w:bidi w:val="0"/>
        <w:ind w:firstLine="482" w:firstLineChars="200"/>
        <w:rPr>
          <w:rFonts w:hint="default"/>
          <w:lang w:val="en-US" w:eastAsia="zh-CN"/>
        </w:rPr>
      </w:pPr>
      <w:r>
        <w:rPr>
          <w:rFonts w:hint="default"/>
          <w:b/>
          <w:bCs/>
          <w:lang w:val="en-US" w:eastAsia="zh-CN"/>
        </w:rPr>
        <w:t xml:space="preserve">RQ3: </w:t>
      </w:r>
      <w:r>
        <w:rPr>
          <w:rFonts w:hint="default"/>
          <w:lang w:val="en-US" w:eastAsia="zh-CN"/>
        </w:rPr>
        <w:t>How can a digital heritage ecosystem be developed to enhance youth participation while maintaining cultural authenticity?</w:t>
      </w:r>
    </w:p>
    <w:p w14:paraId="67212E68">
      <w:pPr>
        <w:bidi w:val="0"/>
        <w:ind w:firstLine="480" w:firstLineChars="200"/>
        <w:rPr>
          <w:rFonts w:hint="eastAsia"/>
          <w:lang w:val="en-US" w:eastAsia="zh-CN"/>
        </w:rPr>
      </w:pPr>
      <w:r>
        <w:rPr>
          <w:rFonts w:hint="default"/>
          <w:lang w:val="en-US" w:eastAsia="zh-CN"/>
        </w:rPr>
        <w:t>Building on these questions, this study develops a technology-supported framework for sustainable ICH transmission, using Nanjing Yunjin brocade as a representative case.</w:t>
      </w:r>
    </w:p>
    <w:p w14:paraId="2B8F060A">
      <w:pPr>
        <w:pStyle w:val="3"/>
        <w:bidi w:val="0"/>
        <w:rPr>
          <w:rFonts w:hint="default"/>
          <w:lang w:val="en-US" w:eastAsia="zh-CN"/>
        </w:rPr>
      </w:pPr>
      <w:bookmarkStart w:id="6" w:name="_Toc11432"/>
      <w:r>
        <w:rPr>
          <w:rFonts w:hint="eastAsia"/>
          <w:lang w:val="en-US" w:eastAsia="zh-CN"/>
        </w:rPr>
        <w:t xml:space="preserve">1.5 </w:t>
      </w:r>
      <w:r>
        <w:rPr>
          <w:rFonts w:hint="default"/>
          <w:lang w:val="en-US" w:eastAsia="zh-CN"/>
        </w:rPr>
        <w:t>Research Objectives and Methodology</w:t>
      </w:r>
      <w:bookmarkEnd w:id="6"/>
    </w:p>
    <w:p w14:paraId="793F7E0C">
      <w:pPr>
        <w:bidi w:val="0"/>
        <w:ind w:firstLine="480" w:firstLineChars="200"/>
        <w:rPr>
          <w:rFonts w:hint="eastAsia"/>
          <w:lang w:val="en-US" w:eastAsia="zh-CN"/>
        </w:rPr>
      </w:pPr>
      <w:r>
        <w:rPr>
          <w:rFonts w:hint="default"/>
          <w:lang w:val="en-US" w:eastAsia="zh-CN"/>
        </w:rPr>
        <w:t>To achieve these objectives, this study adopts a qualitative research approach that combines literature review, comparative analysis, and case study methods. International practices of digital heritage preservation are examined to identify existing limitations and to provide a theoretical foundation for developing a new framework</w:t>
      </w:r>
      <w:r>
        <w:rPr>
          <w:rFonts w:hint="default"/>
          <w:lang w:val="en-US" w:eastAsia="zh-CN"/>
        </w:rPr>
        <w:fldChar w:fldCharType="begin"/>
      </w:r>
      <w:r>
        <w:rPr>
          <w:rFonts w:hint="default"/>
          <w:lang w:val="en-US" w:eastAsia="zh-CN"/>
        </w:rPr>
        <w:instrText xml:space="preserve"> REF _Ref29309 \r \h </w:instrText>
      </w:r>
      <w:r>
        <w:rPr>
          <w:rFonts w:hint="default"/>
          <w:lang w:val="en-US" w:eastAsia="zh-CN"/>
        </w:rPr>
        <w:fldChar w:fldCharType="separate"/>
      </w:r>
      <w:r>
        <w:rPr>
          <w:rFonts w:hint="default"/>
          <w:lang w:val="en-US" w:eastAsia="zh-CN"/>
        </w:rPr>
        <w:t>[</w:t>
      </w:r>
      <w:r>
        <w:rPr>
          <w:rFonts w:hint="eastAsia"/>
          <w:lang w:val="en-US" w:eastAsia="zh-CN"/>
        </w:rPr>
        <w:t>5,10</w:t>
      </w:r>
      <w:r>
        <w:rPr>
          <w:rFonts w:hint="default"/>
          <w:lang w:val="en-US" w:eastAsia="zh-CN"/>
        </w:rPr>
        <w:t>]</w:t>
      </w:r>
      <w:r>
        <w:rPr>
          <w:rFonts w:hint="default"/>
          <w:lang w:val="en-US" w:eastAsia="zh-CN"/>
        </w:rPr>
        <w:fldChar w:fldCharType="end"/>
      </w:r>
      <w:r>
        <w:rPr>
          <w:rFonts w:hint="default"/>
          <w:lang w:val="en-US" w:eastAsia="zh-CN"/>
        </w:rPr>
        <w:t>.</w:t>
      </w:r>
    </w:p>
    <w:p w14:paraId="4B5A55DF">
      <w:pPr>
        <w:pStyle w:val="3"/>
        <w:bidi w:val="0"/>
        <w:rPr>
          <w:rFonts w:hint="default"/>
          <w:lang w:val="en-US" w:eastAsia="zh-CN"/>
        </w:rPr>
      </w:pPr>
      <w:bookmarkStart w:id="7" w:name="_Toc19078"/>
      <w:r>
        <w:rPr>
          <w:rFonts w:hint="eastAsia"/>
          <w:lang w:val="en-US" w:eastAsia="zh-CN"/>
        </w:rPr>
        <w:t xml:space="preserve">1.6 </w:t>
      </w:r>
      <w:r>
        <w:rPr>
          <w:rFonts w:hint="default"/>
          <w:lang w:val="en-US" w:eastAsia="zh-CN"/>
        </w:rPr>
        <w:t>Research Contributions and Significance</w:t>
      </w:r>
      <w:bookmarkEnd w:id="7"/>
    </w:p>
    <w:p w14:paraId="33E161FD">
      <w:pPr>
        <w:bidi w:val="0"/>
        <w:ind w:firstLine="480" w:firstLineChars="200"/>
        <w:rPr>
          <w:rFonts w:hint="default"/>
          <w:lang w:val="en-US" w:eastAsia="zh-CN"/>
        </w:rPr>
      </w:pPr>
      <w:r>
        <w:rPr>
          <w:rFonts w:hint="default"/>
          <w:lang w:val="en-US" w:eastAsia="zh-CN"/>
        </w:rPr>
        <w:t>Theoretically, this study contributes to digital heritage research by proposing an integrated ecosystem model that connects technological innovation with cultural transmission and social participation</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9,1</w:t>
      </w:r>
      <w:r>
        <w:rPr>
          <w:rFonts w:hint="default"/>
          <w:lang w:val="en-US" w:eastAsia="zh-CN"/>
        </w:rPr>
        <w:t>4]</w:t>
      </w:r>
      <w:r>
        <w:rPr>
          <w:rFonts w:hint="default"/>
          <w:lang w:val="en-US" w:eastAsia="zh-CN"/>
        </w:rPr>
        <w:fldChar w:fldCharType="end"/>
      </w:r>
      <w:r>
        <w:rPr>
          <w:rFonts w:hint="default"/>
          <w:lang w:val="en-US" w:eastAsia="zh-CN"/>
        </w:rPr>
        <w:t>.</w:t>
      </w:r>
    </w:p>
    <w:p w14:paraId="0A385529">
      <w:pPr>
        <w:bidi w:val="0"/>
        <w:ind w:firstLine="480" w:firstLineChars="200"/>
        <w:rPr>
          <w:rFonts w:hint="eastAsia"/>
          <w:lang w:val="en-US" w:eastAsia="zh-CN"/>
        </w:rPr>
      </w:pPr>
      <w:r>
        <w:rPr>
          <w:rFonts w:hint="default"/>
          <w:lang w:val="en-US" w:eastAsia="zh-CN"/>
        </w:rPr>
        <w:t>Practically, the proposed framework offers a potential pathway for revitalizing traditional crafts by encouraging youth engagement, enhancing cultural experiences, and balancing authenticity with technological innovation</w:t>
      </w:r>
      <w:r>
        <w:rPr>
          <w:rFonts w:hint="default"/>
          <w:lang w:val="en-US" w:eastAsia="zh-CN"/>
        </w:rPr>
        <w:fldChar w:fldCharType="begin"/>
      </w:r>
      <w:r>
        <w:rPr>
          <w:rFonts w:hint="default"/>
          <w:lang w:val="en-US" w:eastAsia="zh-CN"/>
        </w:rPr>
        <w:instrText xml:space="preserve"> REF _Ref30106 \r \h </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default"/>
          <w:lang w:val="en-US" w:eastAsia="zh-CN"/>
        </w:rPr>
        <w:t>.</w:t>
      </w:r>
    </w:p>
    <w:p w14:paraId="0BDD266C">
      <w:pPr>
        <w:rPr>
          <w:rFonts w:hint="default"/>
          <w:color w:val="auto"/>
          <w:sz w:val="24"/>
          <w:szCs w:val="24"/>
          <w:lang w:val="en-US" w:eastAsia="zh-CN"/>
        </w:rPr>
      </w:pPr>
      <w:r>
        <w:rPr>
          <w:rFonts w:hint="default"/>
          <w:color w:val="auto"/>
          <w:sz w:val="24"/>
          <w:szCs w:val="24"/>
          <w:lang w:val="en-US" w:eastAsia="zh-CN"/>
        </w:rPr>
        <w:br w:type="page"/>
      </w:r>
    </w:p>
    <w:p w14:paraId="5A680083">
      <w:pPr>
        <w:pStyle w:val="2"/>
        <w:bidi w:val="0"/>
        <w:jc w:val="center"/>
        <w:rPr>
          <w:rFonts w:hint="default"/>
          <w:lang w:val="en-US" w:eastAsia="zh-CN"/>
        </w:rPr>
      </w:pPr>
      <w:bookmarkStart w:id="8" w:name="_Toc9801"/>
      <w:r>
        <w:rPr>
          <w:rFonts w:hint="eastAsia"/>
          <w:lang w:val="en-US" w:eastAsia="zh-CN"/>
        </w:rPr>
        <w:t>2</w:t>
      </w:r>
      <w:r>
        <w:rPr>
          <w:rFonts w:hint="default"/>
          <w:lang w:val="en-US" w:eastAsia="zh-CN"/>
        </w:rPr>
        <w:t>.</w:t>
      </w:r>
      <w:r>
        <w:rPr>
          <w:rFonts w:hint="eastAsia"/>
          <w:lang w:val="en-US" w:eastAsia="zh-CN"/>
        </w:rPr>
        <w:t xml:space="preserve"> </w:t>
      </w:r>
      <w:r>
        <w:rPr>
          <w:rFonts w:hint="default"/>
          <w:lang w:val="en-US" w:eastAsia="zh-CN"/>
        </w:rPr>
        <w:t>Research Design</w:t>
      </w:r>
      <w:bookmarkEnd w:id="8"/>
    </w:p>
    <w:p w14:paraId="1ABD2885">
      <w:pPr>
        <w:pStyle w:val="3"/>
        <w:bidi w:val="0"/>
        <w:rPr>
          <w:rFonts w:hint="eastAsia"/>
          <w:lang w:val="en-US" w:eastAsia="zh-CN"/>
        </w:rPr>
      </w:pPr>
      <w:bookmarkStart w:id="9" w:name="_Toc15321"/>
      <w:r>
        <w:rPr>
          <w:rFonts w:hint="eastAsia"/>
          <w:lang w:val="en-US" w:eastAsia="zh-CN"/>
        </w:rPr>
        <w:t>2</w:t>
      </w:r>
      <w:r>
        <w:rPr>
          <w:rFonts w:hint="default"/>
          <w:lang w:val="en-US" w:eastAsia="zh-CN"/>
        </w:rPr>
        <w:t>.1</w:t>
      </w:r>
      <w:r>
        <w:rPr>
          <w:rFonts w:hint="eastAsia"/>
          <w:lang w:val="en-US" w:eastAsia="zh-CN"/>
        </w:rPr>
        <w:t xml:space="preserve"> Overall Research Approach</w:t>
      </w:r>
      <w:bookmarkEnd w:id="9"/>
    </w:p>
    <w:p w14:paraId="10618A53">
      <w:pPr>
        <w:bidi w:val="0"/>
        <w:ind w:firstLine="480" w:firstLineChars="200"/>
        <w:rPr>
          <w:rFonts w:hint="default"/>
          <w:lang w:val="en-US" w:eastAsia="zh-CN"/>
        </w:rPr>
      </w:pPr>
      <w:r>
        <w:rPr>
          <w:rFonts w:hint="default"/>
          <w:lang w:val="en-US" w:eastAsia="zh-CN"/>
        </w:rPr>
        <w:t>This study adopts a qualitative and exploratory research design to investigate how emerging technologies can support the sustainable transmission of intangible cultural heritage. The research follows a four-stage process: examining existing digital heritage preservation practices, identifying limitations in current approaches, developing an integrated Digital Heritage Ecosystem based on the case of Nanjing Yunjin brocade, and applying and evaluating the resulting framework.</w:t>
      </w:r>
    </w:p>
    <w:p w14:paraId="29542E40">
      <w:pPr>
        <w:bidi w:val="0"/>
        <w:ind w:firstLine="480" w:firstLineChars="200"/>
        <w:rPr>
          <w:rFonts w:hint="default"/>
          <w:color w:val="auto"/>
          <w:sz w:val="24"/>
          <w:szCs w:val="24"/>
          <w:lang w:val="en-US" w:eastAsia="zh-CN"/>
        </w:rPr>
      </w:pPr>
      <w:r>
        <w:rPr>
          <w:rFonts w:hint="default"/>
          <w:lang w:val="en-US" w:eastAsia="zh-CN"/>
        </w:rPr>
        <w:t>This integrated approach combines literature review, comparative analysis, and case study methods, aiming to bridge the gap between technological preservation and cultural transmission by exploring how digital innovation can enhance youth engagement while maintaining cultural authenticity</w:t>
      </w:r>
      <w:r>
        <w:rPr>
          <w:rFonts w:hint="default"/>
          <w:lang w:val="en-US" w:eastAsia="zh-CN"/>
        </w:rPr>
        <w:fldChar w:fldCharType="begin"/>
      </w:r>
      <w:r>
        <w:rPr>
          <w:rFonts w:hint="default"/>
          <w:lang w:val="en-US" w:eastAsia="zh-CN"/>
        </w:rPr>
        <w:instrText xml:space="preserve"> REF _Ref26761 \r \h </w:instrText>
      </w:r>
      <w:r>
        <w:rPr>
          <w:rFonts w:hint="default"/>
          <w:lang w:val="en-US" w:eastAsia="zh-CN"/>
        </w:rPr>
        <w:fldChar w:fldCharType="separate"/>
      </w:r>
      <w:r>
        <w:rPr>
          <w:rFonts w:hint="default"/>
          <w:lang w:val="en-US" w:eastAsia="zh-CN"/>
        </w:rPr>
        <w:t>[2</w:t>
      </w:r>
      <w:r>
        <w:rPr>
          <w:rFonts w:hint="eastAsia"/>
          <w:lang w:val="en-US" w:eastAsia="zh-CN"/>
        </w:rPr>
        <w:t>,9</w:t>
      </w:r>
      <w:r>
        <w:rPr>
          <w:rFonts w:hint="default"/>
          <w:lang w:val="en-US" w:eastAsia="zh-CN"/>
        </w:rPr>
        <w:t>]</w:t>
      </w:r>
      <w:r>
        <w:rPr>
          <w:rFonts w:hint="default"/>
          <w:lang w:val="en-US" w:eastAsia="zh-CN"/>
        </w:rPr>
        <w:fldChar w:fldCharType="end"/>
      </w:r>
      <w:r>
        <w:rPr>
          <w:rFonts w:hint="default"/>
          <w:lang w:val="en-US" w:eastAsia="zh-CN"/>
        </w:rPr>
        <w:t>.</w:t>
      </w:r>
    </w:p>
    <w:p w14:paraId="71612412">
      <w:pPr>
        <w:pStyle w:val="3"/>
        <w:bidi w:val="0"/>
        <w:rPr>
          <w:rFonts w:hint="eastAsia"/>
          <w:lang w:val="en-US" w:eastAsia="zh-CN"/>
        </w:rPr>
      </w:pPr>
      <w:bookmarkStart w:id="10" w:name="_Toc26065"/>
      <w:r>
        <w:rPr>
          <w:rFonts w:hint="eastAsia"/>
          <w:lang w:val="en-US" w:eastAsia="zh-CN"/>
        </w:rPr>
        <w:t>2</w:t>
      </w:r>
      <w:r>
        <w:rPr>
          <w:rFonts w:hint="default"/>
          <w:lang w:val="en-US" w:eastAsia="zh-CN"/>
        </w:rPr>
        <w:t>.2</w:t>
      </w:r>
      <w:r>
        <w:rPr>
          <w:rFonts w:hint="eastAsia"/>
          <w:lang w:val="en-US" w:eastAsia="zh-CN"/>
        </w:rPr>
        <w:t xml:space="preserve"> Research Methods</w:t>
      </w:r>
      <w:bookmarkEnd w:id="10"/>
    </w:p>
    <w:p w14:paraId="4228B419">
      <w:pPr>
        <w:numPr>
          <w:ilvl w:val="0"/>
          <w:numId w:val="0"/>
        </w:numPr>
        <w:bidi w:val="0"/>
        <w:ind w:leftChars="0"/>
        <w:rPr>
          <w:rFonts w:hint="default"/>
          <w:color w:val="auto"/>
          <w:sz w:val="24"/>
          <w:szCs w:val="24"/>
          <w:lang w:val="en-US" w:eastAsia="zh-CN"/>
        </w:rPr>
      </w:pPr>
      <w:bookmarkStart w:id="11" w:name="_Toc14430"/>
      <w:r>
        <w:rPr>
          <w:rStyle w:val="17"/>
          <w:rFonts w:hint="eastAsia"/>
          <w:lang w:val="en-US" w:eastAsia="zh-CN"/>
        </w:rPr>
        <w:t>2.2.1 Literature Review</w:t>
      </w:r>
      <w:bookmarkEnd w:id="11"/>
    </w:p>
    <w:p w14:paraId="7AB1C6EB">
      <w:pPr>
        <w:bidi w:val="0"/>
        <w:ind w:firstLine="480" w:firstLineChars="200"/>
        <w:rPr>
          <w:rFonts w:hint="default"/>
          <w:color w:val="auto"/>
          <w:sz w:val="24"/>
          <w:szCs w:val="24"/>
          <w:lang w:val="en-US" w:eastAsia="zh-CN"/>
        </w:rPr>
      </w:pPr>
      <w:r>
        <w:rPr>
          <w:rFonts w:hint="default"/>
          <w:lang w:val="en-US" w:eastAsia="zh-CN"/>
        </w:rPr>
        <w:t>The literature review establishes the theoretical foundation of this research by examining previous studies on intangible cultural heritage preservation and digital transformation. Relevant academic research on digital heritage, artificial intelligence applications, immersive technologies, and youth participation is analyzed to identify current trends and limitations</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default"/>
          <w:lang w:val="en-US" w:eastAsia="zh-CN"/>
        </w:rPr>
        <w:t>[2</w:t>
      </w:r>
      <w:r>
        <w:rPr>
          <w:rFonts w:hint="eastAsia"/>
          <w:lang w:val="en-US" w:eastAsia="zh-CN"/>
        </w:rPr>
        <w:t>,6</w:t>
      </w:r>
      <w:r>
        <w:rPr>
          <w:rFonts w:hint="default"/>
          <w:lang w:val="en-US" w:eastAsia="zh-CN"/>
        </w:rPr>
        <w:t>]</w:t>
      </w:r>
      <w:r>
        <w:rPr>
          <w:rFonts w:hint="default"/>
          <w:lang w:val="en-US" w:eastAsia="zh-CN"/>
        </w:rPr>
        <w:fldChar w:fldCharType="end"/>
      </w:r>
      <w:r>
        <w:rPr>
          <w:rFonts w:hint="default"/>
          <w:lang w:val="en-US" w:eastAsia="zh-CN"/>
        </w:rPr>
        <w:t>.</w:t>
      </w:r>
    </w:p>
    <w:p w14:paraId="6073A2B9">
      <w:pPr>
        <w:pStyle w:val="4"/>
        <w:bidi w:val="0"/>
      </w:pPr>
      <w:bookmarkStart w:id="12" w:name="_Toc24076"/>
      <w:r>
        <w:rPr>
          <w:rFonts w:hint="eastAsia"/>
          <w:color w:val="auto"/>
          <w:sz w:val="24"/>
          <w:szCs w:val="24"/>
          <w:lang w:val="en-US" w:eastAsia="zh-CN"/>
        </w:rPr>
        <w:t>2.2.2 Comparative Analysis</w:t>
      </w:r>
      <w:bookmarkEnd w:id="12"/>
    </w:p>
    <w:p w14:paraId="57593F0C">
      <w:pPr>
        <w:bidi w:val="0"/>
        <w:ind w:firstLine="480" w:firstLineChars="200"/>
        <w:rPr>
          <w:rFonts w:hint="default"/>
          <w:lang w:val="en-US" w:eastAsia="zh-CN"/>
        </w:rPr>
      </w:pPr>
      <w:r>
        <w:rPr>
          <w:rFonts w:hint="default"/>
          <w:lang w:val="en-US" w:eastAsia="zh-CN"/>
        </w:rPr>
        <w:t>Comparative analysis is used to examine representative international practices in digital heritage preservation. The comparison focuses on how different countries apply emerging technologies, the objectives of their digital transformation efforts, and the extent to which these approaches promote public engagement and cultural transmission</w:t>
      </w:r>
      <w:r>
        <w:rPr>
          <w:rFonts w:hint="default"/>
          <w:lang w:val="en-US" w:eastAsia="zh-CN"/>
        </w:rPr>
        <w:fldChar w:fldCharType="begin"/>
      </w:r>
      <w:r>
        <w:rPr>
          <w:rFonts w:hint="default"/>
          <w:lang w:val="en-US" w:eastAsia="zh-CN"/>
        </w:rPr>
        <w:instrText xml:space="preserve"> REF _Ref32519 \r \h </w:instrText>
      </w:r>
      <w:r>
        <w:rPr>
          <w:rFonts w:hint="default"/>
          <w:lang w:val="en-US" w:eastAsia="zh-CN"/>
        </w:rPr>
        <w:fldChar w:fldCharType="separate"/>
      </w:r>
      <w:r>
        <w:rPr>
          <w:rFonts w:hint="default"/>
          <w:lang w:val="en-US" w:eastAsia="zh-CN"/>
        </w:rPr>
        <w:t>[</w:t>
      </w:r>
      <w:r>
        <w:rPr>
          <w:rFonts w:hint="eastAsia"/>
          <w:lang w:val="en-US" w:eastAsia="zh-CN"/>
        </w:rPr>
        <w:t>1,10</w:t>
      </w:r>
      <w:r>
        <w:rPr>
          <w:rFonts w:hint="default"/>
          <w:lang w:val="en-US" w:eastAsia="zh-CN"/>
        </w:rPr>
        <w:t>]</w:t>
      </w:r>
      <w:r>
        <w:rPr>
          <w:rFonts w:hint="default"/>
          <w:lang w:val="en-US" w:eastAsia="zh-CN"/>
        </w:rPr>
        <w:fldChar w:fldCharType="end"/>
      </w:r>
      <w:r>
        <w:rPr>
          <w:rFonts w:hint="default"/>
          <w:lang w:val="en-US" w:eastAsia="zh-CN"/>
        </w:rPr>
        <w:t>.</w:t>
      </w:r>
    </w:p>
    <w:p w14:paraId="566E57E6">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default" w:ascii="Times New Roman" w:hAnsi="Times New Roman" w:cs="Times New Roman"/>
          <w:b/>
          <w:bCs/>
          <w:sz w:val="24"/>
          <w:szCs w:val="24"/>
        </w:rPr>
      </w:pPr>
    </w:p>
    <w:p w14:paraId="67013381">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eastAsia" w:ascii="Times New Roman" w:hAnsi="Times New Roman" w:eastAsia="黑体" w:cs="Times New Roman"/>
          <w:b/>
          <w:bCs/>
          <w:sz w:val="24"/>
          <w:szCs w:val="24"/>
          <w:lang w:eastAsia="zh-CN"/>
        </w:rPr>
      </w:pPr>
      <w:r>
        <w:rPr>
          <w:rFonts w:hint="default" w:ascii="Times New Roman" w:hAnsi="Times New Roman" w:cs="Times New Roman"/>
          <w:b/>
          <w:bCs/>
          <w:sz w:val="24"/>
          <w:szCs w:val="24"/>
        </w:rPr>
        <w:t xml:space="preserve">Table </w:t>
      </w:r>
      <w:r>
        <w:rPr>
          <w:rFonts w:hint="eastAsia" w:cs="Times New Roman"/>
          <w:b/>
          <w:bCs/>
          <w:sz w:val="24"/>
          <w:szCs w:val="24"/>
          <w:lang w:val="en-US" w:eastAsia="zh-CN"/>
        </w:rPr>
        <w:t>2</w:t>
      </w:r>
    </w:p>
    <w:p w14:paraId="1946B6FF">
      <w:pPr>
        <w:keepNext w:val="0"/>
        <w:keepLines w:val="0"/>
        <w:pageBreakBefore w:val="0"/>
        <w:widowControl w:val="0"/>
        <w:kinsoku/>
        <w:wordWrap/>
        <w:overflowPunct/>
        <w:topLinePunct w:val="0"/>
        <w:autoSpaceDE/>
        <w:autoSpaceDN/>
        <w:bidi w:val="0"/>
        <w:adjustRightInd/>
        <w:snapToGrid/>
        <w:spacing w:before="0" w:beforeLines="0"/>
        <w:textAlignment w:val="auto"/>
        <w:rPr>
          <w:rFonts w:hint="default" w:eastAsiaTheme="minorEastAsia"/>
          <w:b w:val="0"/>
          <w:bCs w:val="0"/>
          <w:i/>
          <w:iCs/>
          <w:lang w:val="en-US" w:eastAsia="zh-CN"/>
        </w:rPr>
      </w:pPr>
      <w:r>
        <w:rPr>
          <w:rFonts w:hint="eastAsia" w:cs="Times New Roman"/>
          <w:b w:val="0"/>
          <w:bCs w:val="0"/>
          <w:i/>
          <w:iCs/>
          <w:sz w:val="24"/>
          <w:szCs w:val="24"/>
          <w:lang w:val="en-US" w:eastAsia="zh-CN"/>
        </w:rPr>
        <w:t>Comparison of international digital heritage preservation approaches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3417"/>
        <w:gridCol w:w="4228"/>
      </w:tblGrid>
      <w:tr w14:paraId="0D9F9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top"/>
          </w:tcPr>
          <w:p w14:paraId="6B0B308B">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Approach</w:t>
            </w:r>
          </w:p>
        </w:tc>
        <w:tc>
          <w:tcPr>
            <w:tcW w:w="0" w:type="auto"/>
            <w:tcBorders>
              <w:top w:val="single" w:color="000000" w:sz="12" w:space="0"/>
              <w:left w:val="nil"/>
              <w:bottom w:val="single" w:color="000000" w:sz="4" w:space="0"/>
              <w:right w:val="nil"/>
            </w:tcBorders>
            <w:shd w:val="clear" w:color="auto" w:fill="FFFFFF"/>
            <w:vAlign w:val="top"/>
          </w:tcPr>
          <w:p w14:paraId="5D0E306E">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Main Focus</w:t>
            </w:r>
          </w:p>
        </w:tc>
        <w:tc>
          <w:tcPr>
            <w:tcW w:w="0" w:type="auto"/>
            <w:tcBorders>
              <w:top w:val="single" w:color="000000" w:sz="12" w:space="0"/>
              <w:left w:val="nil"/>
              <w:bottom w:val="single" w:color="000000" w:sz="4" w:space="0"/>
              <w:right w:val="nil"/>
            </w:tcBorders>
            <w:shd w:val="clear" w:color="auto" w:fill="FFFFFF"/>
            <w:vAlign w:val="top"/>
          </w:tcPr>
          <w:p w14:paraId="1AAA1F84">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Limitation</w:t>
            </w:r>
          </w:p>
        </w:tc>
      </w:tr>
      <w:tr w14:paraId="2B326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top"/>
          </w:tcPr>
          <w:p w14:paraId="51A23623">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Japan</w:t>
            </w:r>
          </w:p>
        </w:tc>
        <w:tc>
          <w:tcPr>
            <w:tcW w:w="0" w:type="auto"/>
            <w:tcBorders>
              <w:top w:val="single" w:color="000000" w:sz="4" w:space="0"/>
              <w:left w:val="nil"/>
              <w:bottom w:val="nil"/>
              <w:right w:val="nil"/>
            </w:tcBorders>
            <w:shd w:val="clear" w:color="auto" w:fill="FFFFFF"/>
            <w:vAlign w:val="top"/>
          </w:tcPr>
          <w:p w14:paraId="081D53D7">
            <w:pPr>
              <w:bidi w:val="0"/>
              <w:jc w:val="center"/>
              <w:rPr>
                <w:rFonts w:hint="default" w:cs="Times New Roman"/>
                <w:b w:val="0"/>
                <w:color w:val="000000"/>
                <w:sz w:val="21"/>
                <w:szCs w:val="21"/>
                <w:lang w:val="en-US" w:eastAsia="zh-CN"/>
              </w:rPr>
            </w:pPr>
            <w:r>
              <w:rPr>
                <w:rFonts w:hint="default" w:cs="Times New Roman"/>
                <w:b w:val="0"/>
                <w:color w:val="000000"/>
                <w:sz w:val="21"/>
                <w:szCs w:val="21"/>
                <w:lang w:val="en-US" w:eastAsia="zh-CN"/>
              </w:rPr>
              <w:t>Master–apprentice transmission</w:t>
            </w:r>
          </w:p>
        </w:tc>
        <w:tc>
          <w:tcPr>
            <w:tcW w:w="0" w:type="auto"/>
            <w:tcBorders>
              <w:top w:val="single" w:color="000000" w:sz="4" w:space="0"/>
              <w:left w:val="nil"/>
              <w:bottom w:val="nil"/>
              <w:right w:val="nil"/>
            </w:tcBorders>
            <w:shd w:val="clear" w:color="auto" w:fill="FFFFFF"/>
            <w:vAlign w:val="top"/>
          </w:tcPr>
          <w:p w14:paraId="626299A0">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Difficult to scale;long training cycle</w:t>
            </w:r>
          </w:p>
        </w:tc>
      </w:tr>
      <w:tr w14:paraId="2211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top"/>
          </w:tcPr>
          <w:p w14:paraId="4271C07A">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Europe</w:t>
            </w:r>
          </w:p>
        </w:tc>
        <w:tc>
          <w:tcPr>
            <w:tcW w:w="0" w:type="auto"/>
            <w:tcBorders>
              <w:top w:val="nil"/>
              <w:left w:val="nil"/>
              <w:bottom w:val="nil"/>
              <w:right w:val="nil"/>
            </w:tcBorders>
            <w:shd w:val="clear" w:color="auto" w:fill="FFFFFF"/>
            <w:vAlign w:val="top"/>
          </w:tcPr>
          <w:p w14:paraId="02E60B8F">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Digital documentation and restoration</w:t>
            </w:r>
          </w:p>
        </w:tc>
        <w:tc>
          <w:tcPr>
            <w:tcW w:w="0" w:type="auto"/>
            <w:tcBorders>
              <w:top w:val="nil"/>
              <w:left w:val="nil"/>
              <w:bottom w:val="nil"/>
              <w:right w:val="nil"/>
            </w:tcBorders>
            <w:shd w:val="clear" w:color="auto" w:fill="FFFFFF"/>
            <w:vAlign w:val="top"/>
          </w:tcPr>
          <w:p w14:paraId="5E317C84">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Limited public participation</w:t>
            </w:r>
          </w:p>
        </w:tc>
      </w:tr>
      <w:tr w14:paraId="5A0D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top"/>
          </w:tcPr>
          <w:p w14:paraId="5EA16590">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UNESCO digital initiatives</w:t>
            </w:r>
          </w:p>
        </w:tc>
        <w:tc>
          <w:tcPr>
            <w:tcW w:w="0" w:type="auto"/>
            <w:tcBorders>
              <w:top w:val="nil"/>
              <w:left w:val="nil"/>
              <w:bottom w:val="nil"/>
              <w:right w:val="nil"/>
            </w:tcBorders>
            <w:shd w:val="clear" w:color="auto" w:fill="FFFFFF"/>
            <w:vAlign w:val="top"/>
          </w:tcPr>
          <w:p w14:paraId="41205020">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Online access and 3D visualization</w:t>
            </w:r>
          </w:p>
        </w:tc>
        <w:tc>
          <w:tcPr>
            <w:tcW w:w="0" w:type="auto"/>
            <w:tcBorders>
              <w:top w:val="nil"/>
              <w:left w:val="nil"/>
              <w:bottom w:val="nil"/>
              <w:right w:val="nil"/>
            </w:tcBorders>
            <w:shd w:val="clear" w:color="auto" w:fill="FFFFFF"/>
            <w:vAlign w:val="top"/>
          </w:tcPr>
          <w:p w14:paraId="33451386">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Focus on documentation rather than active learning</w:t>
            </w:r>
          </w:p>
        </w:tc>
      </w:tr>
      <w:tr w14:paraId="2967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top"/>
          </w:tcPr>
          <w:p w14:paraId="4FAC4B94">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Proposed Chinese Solution</w:t>
            </w:r>
          </w:p>
        </w:tc>
        <w:tc>
          <w:tcPr>
            <w:tcW w:w="0" w:type="auto"/>
            <w:tcBorders>
              <w:top w:val="nil"/>
              <w:left w:val="nil"/>
              <w:bottom w:val="single" w:color="000000" w:sz="12" w:space="0"/>
              <w:right w:val="nil"/>
            </w:tcBorders>
            <w:shd w:val="clear" w:color="auto" w:fill="FFFFFF"/>
            <w:vAlign w:val="top"/>
          </w:tcPr>
          <w:p w14:paraId="1F72D6E0">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AI+Digital Twin+Immersive Learning+Community Participation</w:t>
            </w:r>
          </w:p>
        </w:tc>
        <w:tc>
          <w:tcPr>
            <w:tcW w:w="0" w:type="auto"/>
            <w:tcBorders>
              <w:top w:val="nil"/>
              <w:left w:val="nil"/>
              <w:bottom w:val="single" w:color="000000" w:sz="12" w:space="0"/>
              <w:right w:val="nil"/>
            </w:tcBorders>
            <w:shd w:val="clear" w:color="auto" w:fill="FFFFFF"/>
            <w:vAlign w:val="top"/>
          </w:tcPr>
          <w:p w14:paraId="2B5B50FC">
            <w:pPr>
              <w:bidi w:val="0"/>
              <w:jc w:val="center"/>
              <w:rPr>
                <w:rFonts w:hint="default" w:cs="Times New Roman"/>
                <w:b w:val="0"/>
                <w:color w:val="000000"/>
                <w:sz w:val="21"/>
                <w:szCs w:val="21"/>
                <w:lang w:val="en-US" w:eastAsia="zh-CN"/>
              </w:rPr>
            </w:pPr>
            <w:r>
              <w:rPr>
                <w:rFonts w:hint="eastAsia" w:cs="Times New Roman"/>
                <w:b w:val="0"/>
                <w:color w:val="000000"/>
                <w:sz w:val="21"/>
                <w:szCs w:val="21"/>
                <w:lang w:val="en-US" w:eastAsia="zh-CN"/>
              </w:rPr>
              <w:t>Designed to integrate preservation, education,innovation,and sustainable revitalization</w:t>
            </w:r>
          </w:p>
        </w:tc>
      </w:tr>
    </w:tbl>
    <w:p w14:paraId="6F49866C">
      <w:pPr>
        <w:bidi w:val="0"/>
        <w:spacing w:before="0" w:beforeLines="0" w:after="0" w:afterLines="0" w:line="240" w:lineRule="auto"/>
        <w:rPr>
          <w:rFonts w:hint="default"/>
          <w:lang w:val="en-US" w:eastAsia="zh-CN"/>
        </w:rPr>
      </w:pPr>
    </w:p>
    <w:p w14:paraId="0ED1C85A">
      <w:pPr>
        <w:bidi w:val="0"/>
      </w:pPr>
      <w:bookmarkStart w:id="13" w:name="_Toc10483"/>
      <w:r>
        <w:rPr>
          <w:rStyle w:val="17"/>
          <w:rFonts w:hint="eastAsia"/>
          <w:lang w:val="en-US" w:eastAsia="zh-CN"/>
        </w:rPr>
        <w:t>2.2.3 Case Study: Nanjing Yunjin Brocade</w:t>
      </w:r>
      <w:bookmarkEnd w:id="13"/>
    </w:p>
    <w:p w14:paraId="1C5E4013">
      <w:pPr>
        <w:bidi w:val="0"/>
        <w:ind w:firstLine="480" w:firstLineChars="200"/>
        <w:rPr>
          <w:rFonts w:hint="default"/>
          <w:lang w:val="en-US" w:eastAsia="zh-CN"/>
        </w:rPr>
      </w:pPr>
      <w:r>
        <w:rPr>
          <w:rFonts w:hint="default"/>
          <w:lang w:val="en-US" w:eastAsia="zh-CN"/>
        </w:rPr>
        <w:t>Nanjing Yunjin brocade is selected as the representative case because it reflects challenges common to many traditional crafts, including complex craftsmanship, limited transmission channels, and declining participation among younger generations</w:t>
      </w:r>
      <w:r>
        <w:rPr>
          <w:rFonts w:hint="default"/>
          <w:lang w:val="en-US" w:eastAsia="zh-CN"/>
        </w:rPr>
        <w:fldChar w:fldCharType="begin"/>
      </w:r>
      <w:r>
        <w:rPr>
          <w:rFonts w:hint="default"/>
          <w:lang w:val="en-US" w:eastAsia="zh-CN"/>
        </w:rPr>
        <w:instrText xml:space="preserve"> REF _Ref28169 \r \h </w:instrText>
      </w:r>
      <w:r>
        <w:rPr>
          <w:rFonts w:hint="default"/>
          <w:lang w:val="en-US" w:eastAsia="zh-CN"/>
        </w:rPr>
        <w:fldChar w:fldCharType="separate"/>
      </w:r>
      <w:r>
        <w:rPr>
          <w:rFonts w:hint="default"/>
          <w:lang w:val="en-US" w:eastAsia="zh-CN"/>
        </w:rPr>
        <w:t>[</w:t>
      </w:r>
      <w:r>
        <w:rPr>
          <w:rFonts w:hint="eastAsia"/>
          <w:lang w:val="en-US" w:eastAsia="zh-CN"/>
        </w:rPr>
        <w:t>8,</w:t>
      </w:r>
      <w:r>
        <w:rPr>
          <w:rFonts w:hint="default"/>
          <w:lang w:val="en-US" w:eastAsia="zh-CN"/>
        </w:rPr>
        <w:t>1</w:t>
      </w:r>
      <w:r>
        <w:rPr>
          <w:rFonts w:hint="eastAsia"/>
          <w:lang w:val="en-US" w:eastAsia="zh-CN"/>
        </w:rPr>
        <w:t>2</w:t>
      </w:r>
      <w:r>
        <w:rPr>
          <w:rFonts w:hint="default"/>
          <w:lang w:val="en-US" w:eastAsia="zh-CN"/>
        </w:rPr>
        <w:t>]</w:t>
      </w:r>
      <w:r>
        <w:rPr>
          <w:rFonts w:hint="default"/>
          <w:lang w:val="en-US" w:eastAsia="zh-CN"/>
        </w:rPr>
        <w:fldChar w:fldCharType="end"/>
      </w:r>
      <w:r>
        <w:rPr>
          <w:rFonts w:hint="default"/>
          <w:lang w:val="en-US" w:eastAsia="zh-CN"/>
        </w:rPr>
        <w:t>.</w:t>
      </w:r>
    </w:p>
    <w:p w14:paraId="3311FE85">
      <w:pPr>
        <w:bidi w:val="0"/>
        <w:ind w:firstLine="480" w:firstLineChars="200"/>
        <w:rPr>
          <w:rFonts w:hint="default"/>
          <w:lang w:val="en-US" w:eastAsia="zh-CN"/>
        </w:rPr>
      </w:pPr>
      <w:r>
        <w:rPr>
          <w:rFonts w:hint="default"/>
          <w:lang w:val="en-US" w:eastAsia="zh-CN"/>
        </w:rPr>
        <w:t>By analyzing its current preservation and communication practices, this study explores how digital technologies can transform traditional craftsmanship from a static cultural record into an interactive, sustainable cultural resource</w:t>
      </w:r>
      <w:r>
        <w:rPr>
          <w:rFonts w:hint="default"/>
          <w:lang w:val="en-US" w:eastAsia="zh-CN"/>
        </w:rPr>
        <w:fldChar w:fldCharType="begin"/>
      </w:r>
      <w:r>
        <w:rPr>
          <w:rFonts w:hint="default"/>
          <w:lang w:val="en-US" w:eastAsia="zh-CN"/>
        </w:rPr>
        <w:instrText xml:space="preserve"> REF _Ref26902 \r \h </w:instrText>
      </w:r>
      <w:r>
        <w:rPr>
          <w:rFonts w:hint="default"/>
          <w:lang w:val="en-US" w:eastAsia="zh-CN"/>
        </w:rPr>
        <w:fldChar w:fldCharType="separate"/>
      </w:r>
      <w:r>
        <w:rPr>
          <w:rFonts w:hint="default"/>
          <w:lang w:val="en-US" w:eastAsia="zh-CN"/>
        </w:rPr>
        <w:t>[14]</w:t>
      </w:r>
      <w:r>
        <w:rPr>
          <w:rFonts w:hint="default"/>
          <w:lang w:val="en-US" w:eastAsia="zh-CN"/>
        </w:rPr>
        <w:fldChar w:fldCharType="end"/>
      </w:r>
      <w:r>
        <w:rPr>
          <w:rFonts w:hint="default"/>
          <w:lang w:val="en-US" w:eastAsia="zh-CN"/>
        </w:rPr>
        <w:t>.</w:t>
      </w:r>
    </w:p>
    <w:p w14:paraId="10414341">
      <w:pPr>
        <w:pStyle w:val="3"/>
        <w:bidi w:val="0"/>
      </w:pPr>
      <w:bookmarkStart w:id="14" w:name="_Toc6293"/>
      <w:r>
        <w:rPr>
          <w:rFonts w:hint="eastAsia" w:eastAsiaTheme="minorEastAsia" w:cstheme="minorBidi"/>
          <w:kern w:val="2"/>
          <w:sz w:val="24"/>
          <w:szCs w:val="24"/>
          <w:lang w:val="en-US" w:eastAsia="zh-CN" w:bidi="ar-SA"/>
        </w:rPr>
        <w:t>2</w:t>
      </w:r>
      <w:r>
        <w:rPr>
          <w:rFonts w:hint="default" w:ascii="Times New Roman" w:hAnsi="Times New Roman" w:eastAsiaTheme="minorEastAsia" w:cstheme="minorBidi"/>
          <w:kern w:val="2"/>
          <w:sz w:val="24"/>
          <w:szCs w:val="24"/>
          <w:lang w:val="en-US" w:eastAsia="zh-CN" w:bidi="ar-SA"/>
        </w:rPr>
        <w:t>.3</w:t>
      </w:r>
      <w:r>
        <w:rPr>
          <w:rFonts w:hint="eastAsia" w:eastAsiaTheme="minorEastAsia" w:cstheme="minorBidi"/>
          <w:kern w:val="2"/>
          <w:sz w:val="24"/>
          <w:szCs w:val="24"/>
          <w:lang w:val="en-US" w:eastAsia="zh-CN" w:bidi="ar-SA"/>
        </w:rPr>
        <w:t xml:space="preserve"> </w:t>
      </w:r>
      <w:r>
        <w:rPr>
          <w:rFonts w:hint="eastAsia"/>
          <w:lang w:val="en-US" w:eastAsia="zh-CN"/>
        </w:rPr>
        <w:t>Research Procedure</w:t>
      </w:r>
      <w:bookmarkEnd w:id="14"/>
    </w:p>
    <w:p w14:paraId="5B1B137E">
      <w:pPr>
        <w:pStyle w:val="4"/>
        <w:bidi w:val="0"/>
        <w:rPr>
          <w:rFonts w:hint="default"/>
          <w:lang w:val="en-US" w:eastAsia="zh-CN"/>
        </w:rPr>
      </w:pPr>
      <w:bookmarkStart w:id="15" w:name="_Toc2883"/>
      <w:bookmarkStart w:id="16" w:name="_Toc3100"/>
      <w:r>
        <w:rPr>
          <w:rFonts w:hint="default"/>
          <w:lang w:val="en-US" w:eastAsia="zh-CN"/>
        </w:rPr>
        <w:t>Stage 1: Problem Identification</w:t>
      </w:r>
      <w:bookmarkEnd w:id="15"/>
      <w:bookmarkEnd w:id="16"/>
    </w:p>
    <w:p w14:paraId="3A2EBB4A">
      <w:pPr>
        <w:bidi w:val="0"/>
        <w:ind w:firstLine="480" w:firstLineChars="200"/>
        <w:rPr>
          <w:rFonts w:hint="default"/>
          <w:lang w:val="en-US" w:eastAsia="zh-CN"/>
        </w:rPr>
      </w:pPr>
      <w:r>
        <w:rPr>
          <w:rFonts w:hint="default"/>
          <w:lang w:val="en-US" w:eastAsia="zh-CN"/>
        </w:rPr>
        <w:t>The first stage identifies the major challenges in intangible cultural heritage transmission through literature review and preliminary analysis.</w:t>
      </w:r>
    </w:p>
    <w:p w14:paraId="769BA40F">
      <w:pPr>
        <w:pStyle w:val="4"/>
        <w:bidi w:val="0"/>
        <w:rPr>
          <w:rFonts w:hint="default"/>
          <w:lang w:val="en-US" w:eastAsia="zh-CN"/>
        </w:rPr>
      </w:pPr>
      <w:bookmarkStart w:id="17" w:name="_Toc4080"/>
      <w:bookmarkStart w:id="18" w:name="_Toc14794"/>
      <w:r>
        <w:rPr>
          <w:rFonts w:hint="default"/>
          <w:lang w:val="en-US" w:eastAsia="zh-CN"/>
        </w:rPr>
        <w:t>Stage 2: Analysis of Existing Solutions</w:t>
      </w:r>
      <w:bookmarkEnd w:id="17"/>
      <w:bookmarkEnd w:id="18"/>
    </w:p>
    <w:p w14:paraId="40134E55">
      <w:pPr>
        <w:bidi w:val="0"/>
        <w:ind w:firstLine="480" w:firstLineChars="200"/>
        <w:rPr>
          <w:rFonts w:hint="default"/>
          <w:lang w:val="en-US" w:eastAsia="zh-CN"/>
        </w:rPr>
      </w:pPr>
      <w:r>
        <w:rPr>
          <w:rFonts w:hint="default"/>
          <w:lang w:val="en-US" w:eastAsia="zh-CN"/>
        </w:rPr>
        <w:t>The second stage examines existing digital heritage practices worldwide through comparative analysis to evaluate their strengths and limitations.</w:t>
      </w:r>
    </w:p>
    <w:p w14:paraId="3D46FC14">
      <w:pPr>
        <w:pStyle w:val="4"/>
        <w:bidi w:val="0"/>
        <w:rPr>
          <w:rFonts w:hint="default"/>
          <w:lang w:val="en-US" w:eastAsia="zh-CN"/>
        </w:rPr>
      </w:pPr>
      <w:bookmarkStart w:id="19" w:name="_Toc14381"/>
      <w:bookmarkStart w:id="20" w:name="_Toc7231"/>
      <w:r>
        <w:rPr>
          <w:rFonts w:hint="default"/>
          <w:lang w:val="en-US" w:eastAsia="zh-CN"/>
        </w:rPr>
        <w:t>Stage 3: Framework Development</w:t>
      </w:r>
      <w:bookmarkEnd w:id="19"/>
      <w:bookmarkEnd w:id="20"/>
    </w:p>
    <w:p w14:paraId="19B5AE4D">
      <w:pPr>
        <w:bidi w:val="0"/>
        <w:ind w:firstLine="480" w:firstLineChars="200"/>
        <w:rPr>
          <w:rFonts w:hint="default"/>
          <w:lang w:val="en-US" w:eastAsia="zh-CN"/>
        </w:rPr>
      </w:pPr>
      <w:r>
        <w:rPr>
          <w:rFonts w:hint="default"/>
          <w:lang w:val="en-US" w:eastAsia="zh-CN"/>
        </w:rPr>
        <w:t>Based on the findings from previous stages, the third stage develops a Digital Heritage Ecosystem integrating artificial intelligence, digital twin technology, immersive learning, and community participation</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1</w:t>
      </w:r>
      <w:r>
        <w:rPr>
          <w:rFonts w:hint="default"/>
          <w:lang w:val="en-US" w:eastAsia="zh-CN"/>
        </w:rPr>
        <w:t>4</w:t>
      </w:r>
      <w:r>
        <w:rPr>
          <w:rFonts w:hint="eastAsia"/>
          <w:lang w:val="en-US" w:eastAsia="zh-CN"/>
        </w:rPr>
        <w:t>,20</w:t>
      </w:r>
      <w:r>
        <w:rPr>
          <w:rFonts w:hint="default"/>
          <w:lang w:val="en-US" w:eastAsia="zh-CN"/>
        </w:rPr>
        <w:t>]</w:t>
      </w:r>
      <w:r>
        <w:rPr>
          <w:rFonts w:hint="default"/>
          <w:lang w:val="en-US" w:eastAsia="zh-CN"/>
        </w:rPr>
        <w:fldChar w:fldCharType="end"/>
      </w:r>
      <w:r>
        <w:rPr>
          <w:rFonts w:hint="default"/>
          <w:lang w:val="en-US" w:eastAsia="zh-CN"/>
        </w:rPr>
        <w:t>.</w:t>
      </w:r>
    </w:p>
    <w:p w14:paraId="7BC17C13">
      <w:pPr>
        <w:pStyle w:val="4"/>
        <w:bidi w:val="0"/>
        <w:rPr>
          <w:rFonts w:hint="default"/>
          <w:lang w:val="en-US" w:eastAsia="zh-CN"/>
        </w:rPr>
      </w:pPr>
      <w:bookmarkStart w:id="21" w:name="_Toc24503"/>
      <w:bookmarkStart w:id="22" w:name="_Toc30581"/>
      <w:r>
        <w:rPr>
          <w:rFonts w:hint="default"/>
          <w:lang w:val="en-US" w:eastAsia="zh-CN"/>
        </w:rPr>
        <w:t>Stage 4: Framework Application and Evaluation</w:t>
      </w:r>
      <w:bookmarkEnd w:id="21"/>
      <w:bookmarkEnd w:id="22"/>
    </w:p>
    <w:p w14:paraId="3B04070B">
      <w:pPr>
        <w:bidi w:val="0"/>
        <w:ind w:firstLine="480" w:firstLineChars="200"/>
        <w:rPr>
          <w:rFonts w:hint="default"/>
          <w:sz w:val="28"/>
          <w:szCs w:val="28"/>
          <w:lang w:val="en-US" w:eastAsia="zh-CN"/>
        </w:rPr>
      </w:pPr>
      <w:r>
        <w:rPr>
          <w:rFonts w:hint="default"/>
          <w:lang w:val="en-US" w:eastAsia="zh-CN"/>
        </w:rPr>
        <w:t xml:space="preserve">The final stage </w:t>
      </w:r>
      <w:r>
        <w:rPr>
          <w:rFonts w:hint="eastAsia"/>
          <w:lang w:val="en-US" w:eastAsia="zh-CN"/>
        </w:rPr>
        <w:t xml:space="preserve">conceptually </w:t>
      </w:r>
      <w:r>
        <w:rPr>
          <w:rFonts w:hint="default"/>
          <w:lang w:val="en-US" w:eastAsia="zh-CN"/>
        </w:rPr>
        <w:t xml:space="preserve">applies the proposed framework to Nanjing Yunjin brocade and </w:t>
      </w:r>
      <w:r>
        <w:rPr>
          <w:rFonts w:hint="eastAsia"/>
          <w:lang w:val="en-US" w:eastAsia="zh-CN"/>
        </w:rPr>
        <w:t>outlines an evaluation plan</w:t>
      </w:r>
      <w:r>
        <w:rPr>
          <w:rFonts w:hint="default"/>
          <w:lang w:val="en-US" w:eastAsia="zh-CN"/>
        </w:rPr>
        <w:t xml:space="preserve"> </w:t>
      </w:r>
      <w:r>
        <w:rPr>
          <w:rFonts w:hint="eastAsia"/>
          <w:lang w:val="en-US" w:eastAsia="zh-CN"/>
        </w:rPr>
        <w:t>for</w:t>
      </w:r>
      <w:r>
        <w:rPr>
          <w:rFonts w:hint="default"/>
          <w:lang w:val="en-US" w:eastAsia="zh-CN"/>
        </w:rPr>
        <w:t xml:space="preserve"> heritage preservation, cultural experience enhancement, and sustainable transmission.</w:t>
      </w:r>
    </w:p>
    <w:p w14:paraId="00BB950D">
      <w:pPr>
        <w:pStyle w:val="3"/>
        <w:bidi w:val="0"/>
        <w:rPr>
          <w:rFonts w:hint="eastAsia"/>
          <w:lang w:val="en-US" w:eastAsia="zh-CN"/>
        </w:rPr>
      </w:pPr>
      <w:bookmarkStart w:id="23" w:name="_Toc22544"/>
      <w:r>
        <w:rPr>
          <w:rFonts w:hint="eastAsia"/>
          <w:lang w:val="en-US" w:eastAsia="zh-CN"/>
        </w:rPr>
        <w:t>2</w:t>
      </w:r>
      <w:r>
        <w:rPr>
          <w:rFonts w:hint="default"/>
          <w:lang w:val="en-US" w:eastAsia="zh-CN"/>
        </w:rPr>
        <w:t>.4</w:t>
      </w:r>
      <w:r>
        <w:rPr>
          <w:rFonts w:hint="eastAsia"/>
          <w:lang w:val="en-US" w:eastAsia="zh-CN"/>
        </w:rPr>
        <w:t xml:space="preserve"> Proposed Digital Heritage Ecosystem: A Chinese Solution</w:t>
      </w:r>
      <w:bookmarkEnd w:id="23"/>
    </w:p>
    <w:p w14:paraId="7077CE6D">
      <w:pPr>
        <w:pStyle w:val="4"/>
        <w:bidi w:val="0"/>
        <w:rPr>
          <w:rFonts w:hint="eastAsia"/>
          <w:lang w:val="en-US" w:eastAsia="zh-CN"/>
        </w:rPr>
      </w:pPr>
      <w:bookmarkStart w:id="24" w:name="_Toc18326"/>
      <w:r>
        <w:rPr>
          <w:rFonts w:hint="eastAsia"/>
          <w:lang w:val="en-US" w:eastAsia="zh-CN"/>
        </w:rPr>
        <w:t>2</w:t>
      </w:r>
      <w:r>
        <w:rPr>
          <w:rFonts w:hint="default"/>
          <w:lang w:val="en-US" w:eastAsia="zh-CN"/>
        </w:rPr>
        <w:t>.4.1</w:t>
      </w:r>
      <w:r>
        <w:rPr>
          <w:rFonts w:hint="eastAsia"/>
          <w:lang w:val="en-US" w:eastAsia="zh-CN"/>
        </w:rPr>
        <w:t xml:space="preserve"> Overview of the Digital Heritage Ecosystem</w:t>
      </w:r>
      <w:bookmarkEnd w:id="24"/>
    </w:p>
    <w:p w14:paraId="70FD00F6">
      <w:pPr>
        <w:keepNext w:val="0"/>
        <w:keepLines w:val="0"/>
        <w:pageBreakBefore w:val="0"/>
        <w:widowControl w:val="0"/>
        <w:kinsoku/>
        <w:wordWrap/>
        <w:overflowPunct/>
        <w:topLinePunct w:val="0"/>
        <w:autoSpaceDE/>
        <w:autoSpaceDN/>
        <w:bidi w:val="0"/>
        <w:adjustRightInd/>
        <w:snapToGrid/>
        <w:spacing w:after="0" w:afterLines="0"/>
        <w:ind w:firstLine="480" w:firstLineChars="200"/>
        <w:textAlignment w:val="auto"/>
        <w:rPr>
          <w:rFonts w:hint="eastAsia"/>
          <w:lang w:val="en-US" w:eastAsia="zh-CN"/>
        </w:rPr>
      </w:pPr>
      <w:r>
        <w:rPr>
          <w:rFonts w:hint="eastAsia"/>
          <w:lang w:val="en-US" w:eastAsia="zh-CN"/>
        </w:rPr>
        <w:t>The proposed Digital Heritage Ecosystem consists of four interdependent components —artificial intelligence, digital twin technology, immersive learning, and community participation—organised around the heritage source and oriented towards sustainable transmission. Figure 1 presents the overall structure of the framework and the interfaces among its components, contrasted with the linear model that characterises conventional practice.</w:t>
      </w:r>
    </w:p>
    <w:p w14:paraId="0EA21E43">
      <w:pPr>
        <w:bidi w:val="0"/>
        <w:jc w:val="center"/>
        <w:rPr>
          <w:rFonts w:hint="default"/>
          <w:lang w:val="en-US" w:eastAsia="zh-CN"/>
        </w:rPr>
      </w:pPr>
      <w:r>
        <w:rPr>
          <w:rFonts w:hint="default"/>
          <w:lang w:val="en-US" w:eastAsia="zh-CN"/>
        </w:rPr>
        <w:drawing>
          <wp:inline distT="0" distB="0" distL="114300" distR="114300">
            <wp:extent cx="5859780" cy="3886200"/>
            <wp:effectExtent l="0" t="0" r="0" b="0"/>
            <wp:docPr id="9" name="图片 9" descr="Figure1_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ure1_ecosystem"/>
                    <pic:cNvPicPr>
                      <a:picLocks noChangeAspect="1"/>
                    </pic:cNvPicPr>
                  </pic:nvPicPr>
                  <pic:blipFill>
                    <a:blip r:embed="rId8">
                      <a:extLst>
                        <a:ext uri="{96DAC541-7B7A-43D3-8B79-37D633B846F1}">
                          <asvg:svgBlip xmlns:asvg="http://schemas.microsoft.com/office/drawing/2016/SVG/main" r:embed="rId9"/>
                        </a:ext>
                      </a:extLst>
                    </a:blip>
                    <a:srcRect l="1980" t="5930" r="1310" b="1498"/>
                    <a:stretch>
                      <a:fillRect/>
                    </a:stretch>
                  </pic:blipFill>
                  <pic:spPr>
                    <a:xfrm>
                      <a:off x="0" y="0"/>
                      <a:ext cx="5859780" cy="3886200"/>
                    </a:xfrm>
                    <a:prstGeom prst="rect">
                      <a:avLst/>
                    </a:prstGeom>
                  </pic:spPr>
                </pic:pic>
              </a:graphicData>
            </a:graphic>
          </wp:inline>
        </w:drawing>
      </w:r>
    </w:p>
    <w:p w14:paraId="6111CEE3">
      <w:pPr>
        <w:bidi w:val="0"/>
        <w:ind w:firstLine="420" w:firstLineChars="0"/>
        <w:rPr>
          <w:rFonts w:hint="default"/>
          <w:lang w:val="en-US" w:eastAsia="zh-CN"/>
        </w:rPr>
      </w:pPr>
      <w:r>
        <w:rPr>
          <w:rFonts w:hint="default"/>
          <w:lang w:val="en-US" w:eastAsia="zh-CN"/>
        </w:rPr>
        <w:t>The core innovation of the Digital Heritage Ecosystem lies not in the application of a single advanced technology, but in the integration of multiple technologies with social participation. Previous digital heritage practices have often focused on isolated technological solutions, such as digital archives, virtual exhibitions, or 3D reconstruction, which improved the preservation and presentation of cultural resources but failed to establish continuous interaction among heritage, technology, and communities</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[8,9]</w:t>
      </w:r>
      <w:r>
        <w:rPr>
          <w:rFonts w:hint="default"/>
          <w:lang w:val="en-US" w:eastAsia="zh-CN"/>
        </w:rPr>
        <w:fldChar w:fldCharType="end"/>
      </w:r>
      <w:r>
        <w:rPr>
          <w:rFonts w:hint="default"/>
          <w:lang w:val="en-US" w:eastAsia="zh-CN"/>
        </w:rPr>
        <w:t>.</w:t>
      </w:r>
    </w:p>
    <w:p w14:paraId="76791393">
      <w:pPr>
        <w:bidi w:val="0"/>
        <w:ind w:firstLine="480" w:firstLineChars="200"/>
        <w:rPr>
          <w:rFonts w:hint="default"/>
          <w:lang w:val="en-US" w:eastAsia="zh-CN"/>
        </w:rPr>
      </w:pPr>
      <w:r>
        <w:rPr>
          <w:rFonts w:hint="default"/>
          <w:lang w:val="en-US" w:eastAsia="zh-CN"/>
        </w:rPr>
        <w:t>In contrast, the proposed Digital Heritage Ecosystem combines artificial intelligence (AI), digital twin technology, immersive learning, and community participation into an interconnected framework</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1</w:t>
      </w:r>
      <w:r>
        <w:rPr>
          <w:rFonts w:hint="default"/>
          <w:lang w:val="en-US" w:eastAsia="zh-CN"/>
        </w:rPr>
        <w:t>4]</w:t>
      </w:r>
      <w:r>
        <w:rPr>
          <w:rFonts w:hint="default"/>
          <w:lang w:val="en-US" w:eastAsia="zh-CN"/>
        </w:rPr>
        <w:fldChar w:fldCharType="end"/>
      </w:r>
      <w:r>
        <w:rPr>
          <w:rFonts w:hint="default"/>
          <w:lang w:val="en-US" w:eastAsia="zh-CN"/>
        </w:rPr>
        <w:t>. AI enables intelligent analysis, knowledge organization, and personalized cultural experiences; digital twins provide dynamic, visualized representations of heritage objects and environments; immersive learning creates engaging experiences that allow users, especially younger generations, to interact with cultural heritage in more meaningful ways; and community participation encourages collective creation, knowledge sharing, and cultural identity building</w:t>
      </w:r>
      <w:r>
        <w:rPr>
          <w:rFonts w:hint="default"/>
          <w:lang w:val="en-US" w:eastAsia="zh-CN"/>
        </w:rPr>
        <w:fldChar w:fldCharType="begin"/>
      </w:r>
      <w:r>
        <w:rPr>
          <w:rFonts w:hint="default"/>
          <w:lang w:val="en-US" w:eastAsia="zh-CN"/>
        </w:rPr>
        <w:instrText xml:space="preserve"> REF _Ref28169 \r \h </w:instrText>
      </w:r>
      <w:r>
        <w:rPr>
          <w:rFonts w:hint="default"/>
          <w:lang w:val="en-US" w:eastAsia="zh-CN"/>
        </w:rPr>
        <w:fldChar w:fldCharType="separate"/>
      </w:r>
      <w:r>
        <w:rPr>
          <w:rFonts w:hint="eastAsia"/>
          <w:lang w:val="en-US" w:eastAsia="zh-CN"/>
        </w:rPr>
        <w:t>[9]</w:t>
      </w:r>
      <w:r>
        <w:rPr>
          <w:rFonts w:hint="default"/>
          <w:lang w:val="en-US" w:eastAsia="zh-CN"/>
        </w:rPr>
        <w:fldChar w:fldCharType="end"/>
      </w:r>
      <w:r>
        <w:rPr>
          <w:rFonts w:hint="default"/>
          <w:lang w:val="en-US" w:eastAsia="zh-CN"/>
        </w:rPr>
        <w:t>.</w:t>
      </w:r>
    </w:p>
    <w:p w14:paraId="3FEEB92C">
      <w:pPr>
        <w:bidi w:val="0"/>
        <w:ind w:firstLine="480" w:firstLineChars="200"/>
        <w:rPr>
          <w:rFonts w:hint="default"/>
          <w:lang w:val="en-US" w:eastAsia="zh-CN"/>
        </w:rPr>
      </w:pPr>
      <w:r>
        <w:rPr>
          <w:rFonts w:hint="default"/>
          <w:lang w:val="en-US" w:eastAsia="zh-CN"/>
        </w:rPr>
        <w:t xml:space="preserve">The value of this ecosystem therefore lies not simply in the </w:t>
      </w:r>
      <w:r>
        <w:rPr>
          <w:rFonts w:hint="eastAsia"/>
          <w:lang w:val="en-US" w:eastAsia="zh-CN"/>
        </w:rPr>
        <w:t>digitalisation</w:t>
      </w:r>
      <w:r>
        <w:rPr>
          <w:rFonts w:hint="default"/>
          <w:lang w:val="en-US" w:eastAsia="zh-CN"/>
        </w:rPr>
        <w:t xml:space="preserve"> of cultural heritage, but in transforming heritage transmission from a one-way preservation model into a dynamic, participatory, and sustainable process</w:t>
      </w:r>
      <w:r>
        <w:rPr>
          <w:rFonts w:hint="default"/>
          <w:lang w:val="en-US" w:eastAsia="zh-CN"/>
        </w:rPr>
        <w:fldChar w:fldCharType="begin"/>
      </w:r>
      <w:r>
        <w:rPr>
          <w:rFonts w:hint="default"/>
          <w:lang w:val="en-US" w:eastAsia="zh-CN"/>
        </w:rPr>
        <w:instrText xml:space="preserve"> REF _Ref29309 \r \h </w:instrText>
      </w:r>
      <w:r>
        <w:rPr>
          <w:rFonts w:hint="default"/>
          <w:lang w:val="en-US" w:eastAsia="zh-CN"/>
        </w:rPr>
        <w:fldChar w:fldCharType="separate"/>
      </w:r>
      <w:r>
        <w:rPr>
          <w:rFonts w:hint="default"/>
          <w:lang w:val="en-US" w:eastAsia="zh-CN"/>
        </w:rPr>
        <w:t>[</w:t>
      </w:r>
      <w:r>
        <w:rPr>
          <w:rFonts w:hint="eastAsia"/>
          <w:lang w:val="en-US" w:eastAsia="zh-CN"/>
        </w:rPr>
        <w:t>1,9</w:t>
      </w:r>
      <w:r>
        <w:rPr>
          <w:rFonts w:hint="default"/>
          <w:lang w:val="en-US" w:eastAsia="zh-CN"/>
        </w:rPr>
        <w:t>]</w:t>
      </w:r>
      <w:r>
        <w:rPr>
          <w:rFonts w:hint="default"/>
          <w:lang w:val="en-US" w:eastAsia="zh-CN"/>
        </w:rPr>
        <w:fldChar w:fldCharType="end"/>
      </w:r>
      <w:r>
        <w:rPr>
          <w:rFonts w:hint="default"/>
          <w:lang w:val="en-US" w:eastAsia="zh-CN"/>
        </w:rPr>
        <w:t>. By connecting technological innovation with human engagement, the Digital Heritage Ecosystem can strengthen youth involvement and cultural understanding, and support the long-term sustainable transmission of intangible and tangible cultural heritage alike</w:t>
      </w:r>
      <w:r>
        <w:rPr>
          <w:rFonts w:hint="default"/>
          <w:lang w:val="en-US" w:eastAsia="zh-CN"/>
        </w:rPr>
        <w:fldChar w:fldCharType="begin"/>
      </w:r>
      <w:r>
        <w:rPr>
          <w:rFonts w:hint="default"/>
          <w:lang w:val="en-US" w:eastAsia="zh-CN"/>
        </w:rPr>
        <w:instrText xml:space="preserve"> REF _Ref29009 \r \h </w:instrText>
      </w:r>
      <w:r>
        <w:rPr>
          <w:rFonts w:hint="default"/>
          <w:lang w:val="en-US" w:eastAsia="zh-CN"/>
        </w:rPr>
        <w:fldChar w:fldCharType="separate"/>
      </w:r>
      <w:r>
        <w:rPr>
          <w:rFonts w:hint="default"/>
          <w:lang w:val="en-US" w:eastAsia="zh-CN"/>
        </w:rPr>
        <w:t>[9</w:t>
      </w:r>
      <w:r>
        <w:rPr>
          <w:rFonts w:hint="eastAsia"/>
          <w:lang w:val="en-US" w:eastAsia="zh-CN"/>
        </w:rPr>
        <w:t>,14</w:t>
      </w:r>
      <w:r>
        <w:rPr>
          <w:rFonts w:hint="default"/>
          <w:lang w:val="en-US" w:eastAsia="zh-CN"/>
        </w:rPr>
        <w:t>]</w:t>
      </w:r>
      <w:r>
        <w:rPr>
          <w:rFonts w:hint="default"/>
          <w:lang w:val="en-US" w:eastAsia="zh-CN"/>
        </w:rPr>
        <w:fldChar w:fldCharType="end"/>
      </w:r>
      <w:r>
        <w:rPr>
          <w:rFonts w:hint="default"/>
          <w:lang w:val="en-US" w:eastAsia="zh-CN"/>
        </w:rPr>
        <w:t>.</w:t>
      </w:r>
    </w:p>
    <w:p w14:paraId="2BC13D06">
      <w:pPr>
        <w:pStyle w:val="4"/>
        <w:bidi w:val="0"/>
        <w:rPr>
          <w:rFonts w:hint="default"/>
          <w:lang w:val="en-US" w:eastAsia="zh-CN"/>
        </w:rPr>
      </w:pPr>
      <w:bookmarkStart w:id="25" w:name="_Toc16114"/>
      <w:r>
        <w:rPr>
          <w:rFonts w:hint="eastAsia"/>
          <w:lang w:val="en-US" w:eastAsia="zh-CN"/>
        </w:rPr>
        <w:t>2</w:t>
      </w:r>
      <w:r>
        <w:rPr>
          <w:rFonts w:hint="default"/>
          <w:lang w:val="en-US" w:eastAsia="zh-CN"/>
        </w:rPr>
        <w:t>.4.2</w:t>
      </w:r>
      <w:r>
        <w:rPr>
          <w:rFonts w:hint="eastAsia"/>
          <w:lang w:val="en-US" w:eastAsia="zh-CN"/>
        </w:rPr>
        <w:t xml:space="preserve"> </w:t>
      </w:r>
      <w:r>
        <w:rPr>
          <w:rFonts w:hint="default"/>
          <w:lang w:val="en-US" w:eastAsia="zh-CN"/>
        </w:rPr>
        <w:t>Artificial Intelligence for Intelligent Heritage Preservation</w:t>
      </w:r>
      <w:bookmarkEnd w:id="25"/>
    </w:p>
    <w:p w14:paraId="353CE2B6">
      <w:pPr>
        <w:bidi w:val="0"/>
        <w:ind w:firstLine="480" w:firstLineChars="200"/>
        <w:rPr>
          <w:rFonts w:hint="default"/>
          <w:lang w:val="en-US" w:eastAsia="zh-CN"/>
        </w:rPr>
      </w:pPr>
      <w:r>
        <w:rPr>
          <w:rFonts w:hint="default"/>
          <w:lang w:val="en-US" w:eastAsia="zh-CN"/>
        </w:rPr>
        <w:t>Artificial intelligence (AI) plays a critical role in transforming cultural heritage preservation from traditional manual approaches into a more intelligent and efficient process. Rather than serving merely as a tool for digital storage, AI can support heritage preservation through pattern recognition, knowledge organization, and creative assistance, opening new possibilities for the documentation, understanding, and transmission of intangible cultural heritage</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1</w:t>
      </w:r>
      <w:r>
        <w:rPr>
          <w:rFonts w:hint="default"/>
          <w:lang w:val="en-US" w:eastAsia="zh-CN"/>
        </w:rPr>
        <w:t>4]</w:t>
      </w:r>
      <w:r>
        <w:rPr>
          <w:rFonts w:hint="default"/>
          <w:lang w:val="en-US" w:eastAsia="zh-CN"/>
        </w:rPr>
        <w:fldChar w:fldCharType="end"/>
      </w:r>
      <w:r>
        <w:rPr>
          <w:rFonts w:hint="default"/>
          <w:lang w:val="en-US" w:eastAsia="zh-CN"/>
        </w:rPr>
        <w:t>.</w:t>
      </w:r>
    </w:p>
    <w:p w14:paraId="60C28383">
      <w:pPr>
        <w:bidi w:val="0"/>
        <w:ind w:firstLine="480" w:firstLineChars="200"/>
        <w:rPr>
          <w:rFonts w:hint="default"/>
          <w:lang w:val="en-US" w:eastAsia="zh-CN"/>
        </w:rPr>
      </w:pPr>
      <w:r>
        <w:rPr>
          <w:rFonts w:hint="default"/>
          <w:lang w:val="en-US" w:eastAsia="zh-CN"/>
        </w:rPr>
        <w:t>(1) Pattern Recognition: Intelligent Identification and Classification of Cultural Patterns</w:t>
      </w:r>
    </w:p>
    <w:p w14:paraId="174FF632">
      <w:pPr>
        <w:bidi w:val="0"/>
        <w:ind w:firstLine="480" w:firstLineChars="200"/>
        <w:rPr>
          <w:rFonts w:hint="default"/>
          <w:lang w:val="en-US" w:eastAsia="zh-CN"/>
        </w:rPr>
      </w:pPr>
      <w:r>
        <w:rPr>
          <w:rFonts w:hint="default"/>
          <w:lang w:val="en-US" w:eastAsia="zh-CN"/>
        </w:rPr>
        <w:t>One important application of AI is the recognition and classification of cultural patterns. Taking Chinese silk-weaving techniques such as Yunjin as an example, traditional patterns often contain complex structures, symbolic meanings, and regional cultural characteristics. Manual classification of these patterns, however, requires extensive expertise and is time-consuming. Through computer vision and machine learning algorithms, AI can analyze visual features, identify recurring structures, classify different types of traditional motifs, and build a systematic digital pattern database.</w:t>
      </w:r>
    </w:p>
    <w:p w14:paraId="265717C9">
      <w:pPr>
        <w:bidi w:val="0"/>
        <w:ind w:firstLine="480" w:firstLineChars="200"/>
        <w:rPr>
          <w:rFonts w:hint="default"/>
          <w:lang w:val="en-US" w:eastAsia="zh-CN"/>
        </w:rPr>
      </w:pPr>
      <w:r>
        <w:rPr>
          <w:rFonts w:hint="default"/>
          <w:lang w:val="en-US" w:eastAsia="zh-CN"/>
        </w:rPr>
        <w:t>Such an AI-based recognition system can improve not only the efficiency of cultural documentation but also the preservation of valuable design knowledge that might otherwise be lost as traditional craftsmanship declines. Furthermore, searchable digital databases make it easier for researchers, designers, and learners to access and understand traditional patterns, increasing the accessibility of cultural heritage resources</w:t>
      </w:r>
      <w:r>
        <w:rPr>
          <w:rFonts w:hint="default"/>
          <w:lang w:val="en-US" w:eastAsia="zh-CN"/>
        </w:rPr>
        <w:fldChar w:fldCharType="begin"/>
      </w:r>
      <w:r>
        <w:rPr>
          <w:rFonts w:hint="default"/>
          <w:lang w:val="en-US" w:eastAsia="zh-CN"/>
        </w:rPr>
        <w:instrText xml:space="preserve"> REF _Ref26761 \r \h </w:instrText>
      </w:r>
      <w:r>
        <w:rPr>
          <w:rFonts w:hint="default"/>
          <w:lang w:val="en-US" w:eastAsia="zh-CN"/>
        </w:rPr>
        <w:fldChar w:fldCharType="separate"/>
      </w:r>
      <w:r>
        <w:rPr>
          <w:rFonts w:hint="default"/>
          <w:lang w:val="en-US" w:eastAsia="zh-CN"/>
        </w:rPr>
        <w:t>[2</w:t>
      </w:r>
      <w:r>
        <w:rPr>
          <w:rFonts w:hint="eastAsia"/>
          <w:lang w:val="en-US" w:eastAsia="zh-CN"/>
        </w:rPr>
        <w:t>4</w:t>
      </w:r>
      <w:r>
        <w:rPr>
          <w:rFonts w:hint="default"/>
          <w:lang w:val="en-US" w:eastAsia="zh-CN"/>
        </w:rPr>
        <w:t>]</w:t>
      </w:r>
      <w:r>
        <w:rPr>
          <w:rFonts w:hint="default"/>
          <w:lang w:val="en-US" w:eastAsia="zh-CN"/>
        </w:rPr>
        <w:fldChar w:fldCharType="end"/>
      </w:r>
      <w:r>
        <w:rPr>
          <w:rFonts w:hint="default"/>
          <w:lang w:val="en-US" w:eastAsia="zh-CN"/>
        </w:rPr>
        <w:t>.</w:t>
      </w:r>
    </w:p>
    <w:p w14:paraId="3DA28AA2">
      <w:pPr>
        <w:bidi w:val="0"/>
        <w:ind w:firstLine="480" w:firstLineChars="200"/>
        <w:rPr>
          <w:rFonts w:hint="default"/>
          <w:lang w:val="en-US" w:eastAsia="zh-CN"/>
        </w:rPr>
      </w:pPr>
      <w:r>
        <w:rPr>
          <w:rFonts w:hint="default"/>
          <w:lang w:val="en-US" w:eastAsia="zh-CN"/>
        </w:rPr>
        <w:t>(2) Knowledge Organization: Structuring Fragmented Heritage Knowledge</w:t>
      </w:r>
    </w:p>
    <w:p w14:paraId="27A64FE9">
      <w:pPr>
        <w:bidi w:val="0"/>
        <w:ind w:firstLine="480" w:firstLineChars="200"/>
        <w:rPr>
          <w:rFonts w:hint="default"/>
          <w:lang w:val="en-US" w:eastAsia="zh-CN"/>
        </w:rPr>
      </w:pPr>
      <w:r>
        <w:rPr>
          <w:rFonts w:hint="default"/>
          <w:lang w:val="en-US" w:eastAsia="zh-CN"/>
        </w:rPr>
        <w:t>Another significant contribution of AI is the organization and management of fragmented cultural knowledge. Traditional craftsmanship is often transmitted through oral teaching and personal experience, meaning that much valuable knowledge exists in the memories of craftsmen rather than in written records</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[8,25]</w:t>
      </w:r>
      <w:r>
        <w:rPr>
          <w:rFonts w:hint="default"/>
          <w:lang w:val="en-US" w:eastAsia="zh-CN"/>
        </w:rPr>
        <w:fldChar w:fldCharType="end"/>
      </w:r>
      <w:r>
        <w:rPr>
          <w:rFonts w:hint="default"/>
          <w:lang w:val="en-US" w:eastAsia="zh-CN"/>
        </w:rPr>
        <w:t>. AI technologies, including natural language processing and knowledge graph construction, can help collect, organize, and connect various types of heritage information</w:t>
      </w:r>
      <w:r>
        <w:rPr>
          <w:rFonts w:hint="default"/>
          <w:lang w:val="en-US" w:eastAsia="zh-CN"/>
        </w:rPr>
        <w:fldChar w:fldCharType="begin"/>
      </w:r>
      <w:r>
        <w:rPr>
          <w:rFonts w:hint="default"/>
          <w:lang w:val="en-US" w:eastAsia="zh-CN"/>
        </w:rPr>
        <w:instrText xml:space="preserve"> REF _Ref26902 \r \h </w:instrText>
      </w:r>
      <w:r>
        <w:rPr>
          <w:rFonts w:hint="default"/>
          <w:lang w:val="en-US" w:eastAsia="zh-CN"/>
        </w:rPr>
        <w:fldChar w:fldCharType="separate"/>
      </w:r>
      <w:r>
        <w:rPr>
          <w:rFonts w:hint="default"/>
          <w:lang w:val="en-US" w:eastAsia="zh-CN"/>
        </w:rPr>
        <w:t>[14</w:t>
      </w:r>
      <w:r>
        <w:rPr>
          <w:rFonts w:hint="eastAsia"/>
          <w:lang w:val="en-US" w:eastAsia="zh-CN"/>
        </w:rPr>
        <w:t>,15</w:t>
      </w:r>
      <w:r>
        <w:rPr>
          <w:rFonts w:hint="default"/>
          <w:lang w:val="en-US" w:eastAsia="zh-CN"/>
        </w:rPr>
        <w:t>]</w:t>
      </w:r>
      <w:r>
        <w:rPr>
          <w:rFonts w:hint="default"/>
          <w:lang w:val="en-US" w:eastAsia="zh-CN"/>
        </w:rPr>
        <w:fldChar w:fldCharType="end"/>
      </w:r>
      <w:r>
        <w:rPr>
          <w:rFonts w:hint="default"/>
          <w:lang w:val="en-US" w:eastAsia="zh-CN"/>
        </w:rPr>
        <w:t>.</w:t>
      </w:r>
    </w:p>
    <w:p w14:paraId="493600C2">
      <w:pPr>
        <w:bidi w:val="0"/>
        <w:ind w:firstLine="480" w:firstLineChars="200"/>
        <w:rPr>
          <w:rFonts w:hint="default"/>
          <w:lang w:val="en-US" w:eastAsia="zh-CN"/>
        </w:rPr>
      </w:pPr>
      <w:r>
        <w:rPr>
          <w:rFonts w:hint="default"/>
          <w:lang w:val="en-US" w:eastAsia="zh-CN"/>
        </w:rPr>
        <w:t>For example, AI can integrate records of craftsmanship procedures, historical documents, cultural background information, and the practical experience of artisans into a structured knowledge system. By transforming scattered knowledge into an interconnected digital framework, AI helps preserve not only the physical appearance of cultural heritage but also the underlying techniques, concepts, and cultural meanings behind it.</w:t>
      </w:r>
    </w:p>
    <w:p w14:paraId="5389E89C">
      <w:pPr>
        <w:bidi w:val="0"/>
        <w:ind w:firstLine="480" w:firstLineChars="200"/>
        <w:rPr>
          <w:rFonts w:hint="default"/>
          <w:lang w:val="en-US" w:eastAsia="zh-CN"/>
        </w:rPr>
      </w:pPr>
      <w:r>
        <w:rPr>
          <w:rFonts w:hint="default"/>
          <w:lang w:val="en-US" w:eastAsia="zh-CN"/>
        </w:rPr>
        <w:t>(3) Creative Assistance: Supporting Contemporary Cultural Innovation</w:t>
      </w:r>
    </w:p>
    <w:p w14:paraId="18A0BB1C">
      <w:pPr>
        <w:bidi w:val="0"/>
        <w:ind w:firstLine="480" w:firstLineChars="200"/>
        <w:rPr>
          <w:rFonts w:hint="default"/>
          <w:lang w:val="en-US" w:eastAsia="zh-CN"/>
        </w:rPr>
      </w:pPr>
      <w:r>
        <w:rPr>
          <w:rFonts w:hint="default"/>
          <w:lang w:val="en-US" w:eastAsia="zh-CN"/>
        </w:rPr>
        <w:t>Beyond preservation and documentation, AI can also support the creative transformation of cultural heritage. By learning from traditional patterns, colors, structures, and artistic elements, AI systems can help designers generate new ideas for modern applications, including cultural and creative products, fashion design, and digital artworks</w:t>
      </w:r>
      <w:r>
        <w:rPr>
          <w:rFonts w:hint="default"/>
          <w:lang w:val="en-US" w:eastAsia="zh-CN"/>
        </w:rPr>
        <w:fldChar w:fldCharType="begin"/>
      </w:r>
      <w:r>
        <w:rPr>
          <w:rFonts w:hint="default"/>
          <w:lang w:val="en-US" w:eastAsia="zh-CN"/>
        </w:rPr>
        <w:instrText xml:space="preserve"> REF _Ref30106 \r \h </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default"/>
          <w:lang w:val="en-US" w:eastAsia="zh-CN"/>
        </w:rPr>
        <w:t>.</w:t>
      </w:r>
    </w:p>
    <w:p w14:paraId="693A103F">
      <w:pPr>
        <w:bidi w:val="0"/>
        <w:ind w:firstLine="480" w:firstLineChars="200"/>
        <w:rPr>
          <w:rFonts w:hint="default"/>
          <w:lang w:val="en-US" w:eastAsia="zh-CN"/>
        </w:rPr>
      </w:pPr>
      <w:r>
        <w:rPr>
          <w:rFonts w:hint="default"/>
          <w:lang w:val="en-US" w:eastAsia="zh-CN"/>
        </w:rPr>
        <w:t>For instance, AI-assisted design tools can analyze traditional Yunjin patterns and offer designers innovative combinations while preserving cultural characteristics. This approach does not replace human creativity; rather, it opens new avenues for collaboration between traditional craftsmanship and contemporary design</w:t>
      </w:r>
      <w:r>
        <w:rPr>
          <w:rFonts w:hint="default"/>
          <w:lang w:val="en-US" w:eastAsia="zh-CN"/>
        </w:rPr>
        <w:fldChar w:fldCharType="begin"/>
      </w:r>
      <w:r>
        <w:rPr>
          <w:rFonts w:hint="default"/>
          <w:lang w:val="en-US" w:eastAsia="zh-CN"/>
        </w:rPr>
        <w:instrText xml:space="preserve"> REF _Ref27852 \r \h </w:instrText>
      </w:r>
      <w:r>
        <w:rPr>
          <w:rFonts w:hint="default"/>
          <w:lang w:val="en-US" w:eastAsia="zh-CN"/>
        </w:rPr>
        <w:fldChar w:fldCharType="separate"/>
      </w:r>
      <w:r>
        <w:rPr>
          <w:rFonts w:hint="default"/>
          <w:lang w:val="en-US" w:eastAsia="zh-CN"/>
        </w:rPr>
        <w:t>[2</w:t>
      </w:r>
      <w:r>
        <w:rPr>
          <w:rFonts w:hint="eastAsia"/>
          <w:lang w:val="en-US" w:eastAsia="zh-CN"/>
        </w:rPr>
        <w:t>4</w:t>
      </w:r>
      <w:r>
        <w:rPr>
          <w:rFonts w:hint="default"/>
          <w:lang w:val="en-US" w:eastAsia="zh-CN"/>
        </w:rPr>
        <w:t>]</w:t>
      </w:r>
      <w:r>
        <w:rPr>
          <w:rFonts w:hint="default"/>
          <w:lang w:val="en-US" w:eastAsia="zh-CN"/>
        </w:rPr>
        <w:fldChar w:fldCharType="end"/>
      </w:r>
      <w:r>
        <w:rPr>
          <w:rFonts w:hint="default"/>
          <w:lang w:val="en-US" w:eastAsia="zh-CN"/>
        </w:rPr>
        <w:t>. Through this process, cultural heritage can achieve a balance between preservation and innovation, keeping traditional knowledge relevant in modern society.</w:t>
      </w:r>
    </w:p>
    <w:p w14:paraId="31912057">
      <w:pPr>
        <w:bidi w:val="0"/>
        <w:ind w:firstLine="480" w:firstLineChars="200"/>
        <w:rPr>
          <w:rFonts w:hint="default"/>
          <w:lang w:val="en-US" w:eastAsia="zh-CN"/>
        </w:rPr>
      </w:pPr>
      <w:r>
        <w:rPr>
          <w:rFonts w:hint="default"/>
          <w:lang w:val="en-US" w:eastAsia="zh-CN"/>
        </w:rPr>
        <w:t>Overall, the role of AI in heritage preservation extends beyond protecting existing cultural resources. By enabling intelligent recognition, systematic knowledge management, and creative collaboration, AI contributes to building a more dynamic and sustainable heritage transmission system</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1</w:t>
      </w:r>
      <w:r>
        <w:rPr>
          <w:rFonts w:hint="default"/>
          <w:lang w:val="en-US" w:eastAsia="zh-CN"/>
        </w:rPr>
        <w:t>4</w:t>
      </w:r>
      <w:r>
        <w:rPr>
          <w:rFonts w:hint="eastAsia"/>
          <w:lang w:val="en-US" w:eastAsia="zh-CN"/>
        </w:rPr>
        <w:t>,24</w:t>
      </w:r>
      <w:r>
        <w:rPr>
          <w:rFonts w:hint="default"/>
          <w:lang w:val="en-US" w:eastAsia="zh-CN"/>
        </w:rPr>
        <w:t>]</w:t>
      </w:r>
      <w:r>
        <w:rPr>
          <w:rFonts w:hint="default"/>
          <w:lang w:val="en-US" w:eastAsia="zh-CN"/>
        </w:rPr>
        <w:fldChar w:fldCharType="end"/>
      </w:r>
      <w:r>
        <w:rPr>
          <w:rFonts w:hint="default"/>
          <w:lang w:val="en-US" w:eastAsia="zh-CN"/>
        </w:rPr>
        <w:t>.</w:t>
      </w:r>
    </w:p>
    <w:p w14:paraId="28FE0058">
      <w:pPr>
        <w:pStyle w:val="4"/>
        <w:bidi w:val="0"/>
        <w:rPr>
          <w:rFonts w:hint="default"/>
          <w:lang w:val="en-US" w:eastAsia="zh-CN"/>
        </w:rPr>
      </w:pPr>
      <w:bookmarkStart w:id="26" w:name="_Toc22849"/>
      <w:r>
        <w:rPr>
          <w:rFonts w:hint="eastAsia"/>
          <w:lang w:val="en-US" w:eastAsia="zh-CN"/>
        </w:rPr>
        <w:t>2.4.3 Digital Twin Technology for Authentic Heritage Representation</w:t>
      </w:r>
      <w:bookmarkEnd w:id="26"/>
    </w:p>
    <w:p w14:paraId="758E7524">
      <w:pPr>
        <w:bidi w:val="0"/>
        <w:ind w:firstLine="480" w:firstLineChars="200"/>
        <w:rPr>
          <w:rFonts w:hint="default"/>
          <w:lang w:val="en-US" w:eastAsia="zh-CN"/>
        </w:rPr>
      </w:pPr>
      <w:r>
        <w:rPr>
          <w:rFonts w:hint="default"/>
          <w:lang w:val="en-US" w:eastAsia="zh-CN"/>
        </w:rPr>
        <w:t>To achieve an authentic representation of intangible cultural heritage (ICH), this study incorporates Digital Twin (DT) technology as a core mechanism within the proposed ecosystem</w:t>
      </w:r>
      <w:r>
        <w:rPr>
          <w:rFonts w:hint="default"/>
          <w:lang w:val="en-US" w:eastAsia="zh-CN"/>
        </w:rPr>
        <w:fldChar w:fldCharType="begin"/>
      </w:r>
      <w:r>
        <w:rPr>
          <w:rFonts w:hint="default"/>
          <w:lang w:val="en-US" w:eastAsia="zh-CN"/>
        </w:rPr>
        <w:instrText xml:space="preserve"> REF _Ref28558 \r \h </w:instrText>
      </w:r>
      <w:r>
        <w:rPr>
          <w:rFonts w:hint="default"/>
          <w:lang w:val="en-US" w:eastAsia="zh-CN"/>
        </w:rPr>
        <w:fldChar w:fldCharType="separate"/>
      </w:r>
      <w:r>
        <w:rPr>
          <w:rFonts w:hint="default"/>
          <w:lang w:val="en-US" w:eastAsia="zh-CN"/>
        </w:rPr>
        <w:fldChar w:fldCharType="end"/>
      </w:r>
      <w:r>
        <w:rPr>
          <w:rFonts w:hint="default"/>
          <w:lang w:val="en-US" w:eastAsia="zh-CN"/>
        </w:rPr>
        <w:t>. Unlike traditional static visualizations, a Digital Twin is defined as a dynamic, parametric digital replica that reflects not only the physical appearance of an artifact but also its internal logic, structural mechanics, and operational behavior in real time or near-real time</w:t>
      </w:r>
      <w:r>
        <w:rPr>
          <w:rFonts w:hint="default"/>
          <w:lang w:val="en-US" w:eastAsia="zh-CN"/>
        </w:rPr>
        <w:fldChar w:fldCharType="begin"/>
      </w:r>
      <w:r>
        <w:rPr>
          <w:rFonts w:hint="default"/>
          <w:lang w:val="en-US" w:eastAsia="zh-CN"/>
        </w:rPr>
        <w:instrText xml:space="preserve"> REF _Ref28091 \r \h </w:instrText>
      </w:r>
      <w:r>
        <w:rPr>
          <w:rFonts w:hint="default"/>
          <w:lang w:val="en-US" w:eastAsia="zh-CN"/>
        </w:rPr>
        <w:fldChar w:fldCharType="separate"/>
      </w:r>
      <w:r>
        <w:rPr>
          <w:rFonts w:hint="default"/>
          <w:lang w:val="en-US" w:eastAsia="zh-CN"/>
        </w:rPr>
        <w:t>[17]</w:t>
      </w:r>
      <w:r>
        <w:rPr>
          <w:rFonts w:hint="default"/>
          <w:lang w:val="en-US" w:eastAsia="zh-CN"/>
        </w:rPr>
        <w:fldChar w:fldCharType="end"/>
      </w:r>
      <w:r>
        <w:rPr>
          <w:rFonts w:hint="default"/>
          <w:lang w:val="en-US" w:eastAsia="zh-CN"/>
        </w:rPr>
        <w:t>.</w:t>
      </w:r>
    </w:p>
    <w:p w14:paraId="07A72294">
      <w:pPr>
        <w:bidi w:val="0"/>
        <w:ind w:firstLine="480" w:firstLineChars="200"/>
        <w:rPr>
          <w:rFonts w:hint="default"/>
          <w:lang w:val="en-US" w:eastAsia="zh-CN"/>
        </w:rPr>
      </w:pPr>
      <w:r>
        <w:rPr>
          <w:rFonts w:hint="default"/>
          <w:lang w:val="en-US" w:eastAsia="zh-CN"/>
        </w:rPr>
        <w:t>The architecture of the Yunjin Digital Twin is illustrated in Figure 2.</w:t>
      </w:r>
    </w:p>
    <w:p w14:paraId="224E8D88">
      <w:pPr>
        <w:bidi w:val="0"/>
        <w:jc w:val="center"/>
        <w:rPr>
          <w:rFonts w:hint="default"/>
          <w:lang w:val="en-US" w:eastAsia="zh-CN"/>
        </w:rPr>
      </w:pPr>
      <w:r>
        <w:rPr>
          <w:rFonts w:hint="default"/>
          <w:lang w:val="en-US" w:eastAsia="zh-CN"/>
        </w:rPr>
        <w:drawing>
          <wp:inline distT="0" distB="0" distL="114300" distR="114300">
            <wp:extent cx="5922645" cy="3307080"/>
            <wp:effectExtent l="0" t="0" r="1905" b="7620"/>
            <wp:docPr id="8" name="图片 8" descr="Figure2_digital_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ure2_digital_twin"/>
                    <pic:cNvPicPr>
                      <a:picLocks noChangeAspect="1"/>
                    </pic:cNvPicPr>
                  </pic:nvPicPr>
                  <pic:blipFill>
                    <a:blip r:embed="rId10">
                      <a:extLst>
                        <a:ext uri="{96DAC541-7B7A-43D3-8B79-37D633B846F1}">
                          <asvg:svgBlip xmlns:asvg="http://schemas.microsoft.com/office/drawing/2016/SVG/main" r:embed="rId11"/>
                        </a:ext>
                      </a:extLst>
                    </a:blip>
                    <a:srcRect l="1600" t="6167" r="1522"/>
                    <a:stretch>
                      <a:fillRect/>
                    </a:stretch>
                  </pic:blipFill>
                  <pic:spPr>
                    <a:xfrm>
                      <a:off x="0" y="0"/>
                      <a:ext cx="5922645" cy="3307080"/>
                    </a:xfrm>
                    <a:prstGeom prst="rect">
                      <a:avLst/>
                    </a:prstGeom>
                  </pic:spPr>
                </pic:pic>
              </a:graphicData>
            </a:graphic>
          </wp:inline>
        </w:drawing>
      </w:r>
    </w:p>
    <w:p w14:paraId="4330C24E">
      <w:pPr>
        <w:bidi w:val="0"/>
        <w:ind w:firstLine="482" w:firstLineChars="200"/>
        <w:rPr>
          <w:rFonts w:hint="default"/>
          <w:b/>
          <w:bCs/>
          <w:lang w:val="en-US" w:eastAsia="zh-CN"/>
        </w:rPr>
      </w:pPr>
      <w:r>
        <w:rPr>
          <w:rFonts w:hint="eastAsia"/>
          <w:b/>
          <w:bCs/>
          <w:lang w:val="en-US" w:eastAsia="zh-CN"/>
        </w:rPr>
        <w:t xml:space="preserve">(1) </w:t>
      </w:r>
      <w:r>
        <w:rPr>
          <w:rFonts w:hint="default"/>
          <w:b/>
          <w:bCs/>
          <w:lang w:val="en-US" w:eastAsia="zh-CN"/>
        </w:rPr>
        <w:t>Distinguishing Digital Twins from Traditional 3D Models</w:t>
      </w:r>
    </w:p>
    <w:p w14:paraId="2BA56C8B">
      <w:pPr>
        <w:bidi w:val="0"/>
        <w:ind w:firstLine="480" w:firstLineChars="200"/>
        <w:rPr>
          <w:rFonts w:hint="default"/>
          <w:lang w:val="en-US" w:eastAsia="zh-CN"/>
        </w:rPr>
      </w:pPr>
      <w:r>
        <w:rPr>
          <w:rFonts w:hint="default"/>
          <w:lang w:val="en-US" w:eastAsia="zh-CN"/>
        </w:rPr>
        <w:t>A critical distinction must be drawn between conventional 3D modeling and Digital Twin technology. Traditional 3D models provide a static visual shell, offering basic geometry, texture, and surface aesthetics intended primarily for visual display. While effective for basic archiving, standard 3D rendering fails to capture the dynamic, temporal, and procedural nature of traditional craftsmanship</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[19]</w:t>
      </w:r>
      <w:r>
        <w:rPr>
          <w:rFonts w:hint="default"/>
          <w:lang w:val="en-US" w:eastAsia="zh-CN"/>
        </w:rPr>
        <w:fldChar w:fldCharType="end"/>
      </w:r>
      <w:r>
        <w:rPr>
          <w:rFonts w:hint="default"/>
          <w:lang w:val="en-US" w:eastAsia="zh-CN"/>
        </w:rPr>
        <w:t>.</w:t>
      </w:r>
    </w:p>
    <w:p w14:paraId="17A95E26">
      <w:pPr>
        <w:bidi w:val="0"/>
        <w:ind w:firstLine="480" w:firstLineChars="200"/>
        <w:rPr>
          <w:rFonts w:hint="default"/>
          <w:lang w:val="en-US" w:eastAsia="zh-CN"/>
        </w:rPr>
      </w:pPr>
      <w:r>
        <w:rPr>
          <w:rFonts w:hint="default"/>
          <w:lang w:val="en-US" w:eastAsia="zh-CN"/>
        </w:rPr>
        <w:t>In contrast, a Digital Twin functions as a living digital system. It integrates physical laws, operational logic, and functional relationships, shifting the focus of digital heritage from merely "looking like" the original artifact to "functioning and evolving like" the original process</w:t>
      </w:r>
      <w:r>
        <w:rPr>
          <w:rFonts w:hint="default"/>
          <w:lang w:val="en-US" w:eastAsia="zh-CN"/>
        </w:rPr>
        <w:fldChar w:fldCharType="begin"/>
      </w:r>
      <w:r>
        <w:rPr>
          <w:rFonts w:hint="default"/>
          <w:lang w:val="en-US" w:eastAsia="zh-CN"/>
        </w:rPr>
        <w:instrText xml:space="preserve"> REF _Ref1397 \r \h </w:instrText>
      </w:r>
      <w:r>
        <w:rPr>
          <w:rFonts w:hint="default"/>
          <w:lang w:val="en-US" w:eastAsia="zh-CN"/>
        </w:rPr>
        <w:fldChar w:fldCharType="separate"/>
      </w:r>
      <w:r>
        <w:rPr>
          <w:rFonts w:hint="default"/>
          <w:lang w:val="en-US" w:eastAsia="zh-CN"/>
        </w:rPr>
        <w:t>[19]</w:t>
      </w:r>
      <w:r>
        <w:rPr>
          <w:rFonts w:hint="default"/>
          <w:lang w:val="en-US" w:eastAsia="zh-CN"/>
        </w:rPr>
        <w:fldChar w:fldCharType="end"/>
      </w:r>
      <w:r>
        <w:rPr>
          <w:rFonts w:hint="default"/>
          <w:lang w:val="en-US" w:eastAsia="zh-CN"/>
        </w:rPr>
        <w:t>.</w:t>
      </w:r>
    </w:p>
    <w:p w14:paraId="16F2A349">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eastAsia" w:ascii="Times New Roman" w:hAnsi="Times New Roman" w:eastAsia="黑体" w:cs="Times New Roman"/>
          <w:b/>
          <w:bCs/>
          <w:sz w:val="24"/>
          <w:szCs w:val="24"/>
          <w:lang w:eastAsia="zh-CN"/>
        </w:rPr>
      </w:pPr>
      <w:r>
        <w:rPr>
          <w:rFonts w:hint="default" w:ascii="Times New Roman" w:hAnsi="Times New Roman" w:cs="Times New Roman"/>
          <w:b/>
          <w:bCs/>
          <w:sz w:val="24"/>
          <w:szCs w:val="24"/>
        </w:rPr>
        <w:t xml:space="preserve">Table </w:t>
      </w:r>
      <w:r>
        <w:rPr>
          <w:rFonts w:hint="eastAsia" w:cs="Times New Roman"/>
          <w:b/>
          <w:bCs/>
          <w:sz w:val="24"/>
          <w:szCs w:val="24"/>
          <w:lang w:val="en-US" w:eastAsia="zh-CN"/>
        </w:rPr>
        <w:t>3</w:t>
      </w:r>
    </w:p>
    <w:p w14:paraId="75DFB7CF">
      <w:pPr>
        <w:keepNext w:val="0"/>
        <w:keepLines w:val="0"/>
        <w:pageBreakBefore w:val="0"/>
        <w:widowControl w:val="0"/>
        <w:kinsoku/>
        <w:wordWrap/>
        <w:overflowPunct/>
        <w:topLinePunct w:val="0"/>
        <w:autoSpaceDE/>
        <w:autoSpaceDN/>
        <w:bidi w:val="0"/>
        <w:adjustRightInd/>
        <w:snapToGrid/>
        <w:spacing w:before="0" w:beforeLines="0"/>
        <w:textAlignment w:val="auto"/>
        <w:rPr>
          <w:rFonts w:hint="default" w:eastAsiaTheme="minorEastAsia"/>
          <w:lang w:val="en-US" w:eastAsia="zh-CN"/>
        </w:rPr>
      </w:pPr>
      <w:r>
        <w:rPr>
          <w:rFonts w:hint="eastAsia" w:cs="Times New Roman"/>
          <w:b w:val="0"/>
          <w:bCs w:val="0"/>
          <w:i/>
          <w:iCs/>
          <w:sz w:val="24"/>
          <w:szCs w:val="24"/>
          <w:lang w:val="en-US" w:eastAsia="zh-CN"/>
        </w:rPr>
        <w:t>Comparative analysis of Traditional 3D Model and Digital Twin Technology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2733"/>
        <w:gridCol w:w="5102"/>
      </w:tblGrid>
      <w:tr w14:paraId="729F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4" w:space="0"/>
              <w:right w:val="nil"/>
              <w:tl2br w:val="nil"/>
            </w:tcBorders>
            <w:shd w:val="clear" w:color="auto" w:fill="FFFFFF"/>
          </w:tcPr>
          <w:p w14:paraId="58BC610D">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Dimension</w:t>
            </w:r>
          </w:p>
        </w:tc>
        <w:tc>
          <w:tcPr>
            <w:tcW w:w="0" w:type="auto"/>
            <w:tcBorders>
              <w:top w:val="single" w:color="000000" w:sz="12" w:space="0"/>
              <w:left w:val="nil"/>
              <w:bottom w:val="single" w:color="000000" w:sz="4" w:space="0"/>
              <w:right w:val="nil"/>
            </w:tcBorders>
            <w:shd w:val="clear" w:color="auto" w:fill="FFFFFF"/>
          </w:tcPr>
          <w:p w14:paraId="590B50D8">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Traditional 3D Model</w:t>
            </w:r>
          </w:p>
        </w:tc>
        <w:tc>
          <w:tcPr>
            <w:tcW w:w="0" w:type="auto"/>
            <w:tcBorders>
              <w:top w:val="single" w:color="000000" w:sz="12" w:space="0"/>
              <w:left w:val="nil"/>
              <w:bottom w:val="single" w:color="000000" w:sz="4" w:space="0"/>
              <w:right w:val="nil"/>
            </w:tcBorders>
            <w:shd w:val="clear" w:color="auto" w:fill="FFFFFF"/>
          </w:tcPr>
          <w:p w14:paraId="25270EC2">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Digital Twin Technology</w:t>
            </w:r>
          </w:p>
        </w:tc>
      </w:tr>
      <w:tr w14:paraId="336D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1FBC1E18">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Nature</w:t>
            </w:r>
          </w:p>
        </w:tc>
        <w:tc>
          <w:tcPr>
            <w:tcW w:w="0" w:type="auto"/>
            <w:tcBorders>
              <w:top w:val="single" w:color="000000" w:sz="4" w:space="0"/>
              <w:left w:val="nil"/>
              <w:bottom w:val="nil"/>
              <w:right w:val="nil"/>
            </w:tcBorders>
            <w:shd w:val="clear" w:color="auto" w:fill="FFFFFF"/>
          </w:tcPr>
          <w:p w14:paraId="04BE3445">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Static visual representation</w:t>
            </w:r>
          </w:p>
        </w:tc>
        <w:tc>
          <w:tcPr>
            <w:tcW w:w="0" w:type="auto"/>
            <w:tcBorders>
              <w:top w:val="single" w:color="000000" w:sz="4" w:space="0"/>
              <w:left w:val="nil"/>
              <w:bottom w:val="nil"/>
              <w:right w:val="nil"/>
            </w:tcBorders>
            <w:shd w:val="clear" w:color="auto" w:fill="FFFFFF"/>
          </w:tcPr>
          <w:p w14:paraId="2596A891">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Dynamic, system-level digital replica</w:t>
            </w:r>
          </w:p>
        </w:tc>
      </w:tr>
      <w:tr w14:paraId="3398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7E609D2A">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Focus</w:t>
            </w:r>
          </w:p>
        </w:tc>
        <w:tc>
          <w:tcPr>
            <w:tcW w:w="0" w:type="auto"/>
            <w:tcBorders>
              <w:top w:val="nil"/>
              <w:left w:val="nil"/>
              <w:bottom w:val="nil"/>
              <w:right w:val="nil"/>
            </w:tcBorders>
            <w:shd w:val="clear" w:color="auto" w:fill="FFFFFF"/>
          </w:tcPr>
          <w:p w14:paraId="7AE4E117">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Visual appearance and geometry</w:t>
            </w:r>
          </w:p>
        </w:tc>
        <w:tc>
          <w:tcPr>
            <w:tcW w:w="0" w:type="auto"/>
            <w:tcBorders>
              <w:top w:val="nil"/>
              <w:left w:val="nil"/>
              <w:bottom w:val="nil"/>
              <w:right w:val="nil"/>
            </w:tcBorders>
            <w:shd w:val="clear" w:color="auto" w:fill="FFFFFF"/>
          </w:tcPr>
          <w:p w14:paraId="48AF8A72">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Operational logic, mechanics, and physical behavior</w:t>
            </w:r>
          </w:p>
        </w:tc>
      </w:tr>
      <w:tr w14:paraId="51DBD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293E9A33">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Interactivity</w:t>
            </w:r>
          </w:p>
        </w:tc>
        <w:tc>
          <w:tcPr>
            <w:tcW w:w="0" w:type="auto"/>
            <w:tcBorders>
              <w:top w:val="nil"/>
              <w:left w:val="nil"/>
              <w:bottom w:val="nil"/>
              <w:right w:val="nil"/>
            </w:tcBorders>
            <w:shd w:val="clear" w:color="auto" w:fill="FFFFFF"/>
          </w:tcPr>
          <w:p w14:paraId="04CEE4EE">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Passive(viewing, rotation, scaling)</w:t>
            </w:r>
          </w:p>
        </w:tc>
        <w:tc>
          <w:tcPr>
            <w:tcW w:w="0" w:type="auto"/>
            <w:tcBorders>
              <w:top w:val="nil"/>
              <w:left w:val="nil"/>
              <w:bottom w:val="nil"/>
              <w:right w:val="nil"/>
            </w:tcBorders>
            <w:shd w:val="clear" w:color="auto" w:fill="FFFFFF"/>
          </w:tcPr>
          <w:p w14:paraId="49D13CC9">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Active(simulation, parametric manipulation, dynamic feedback)</w:t>
            </w:r>
          </w:p>
        </w:tc>
      </w:tr>
      <w:tr w14:paraId="645F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4FA0F07A">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Heritage Value</w:t>
            </w:r>
          </w:p>
        </w:tc>
        <w:tc>
          <w:tcPr>
            <w:tcW w:w="0" w:type="auto"/>
            <w:tcBorders>
              <w:top w:val="nil"/>
              <w:left w:val="nil"/>
              <w:bottom w:val="single" w:color="000000" w:sz="12" w:space="0"/>
              <w:right w:val="nil"/>
            </w:tcBorders>
            <w:shd w:val="clear" w:color="auto" w:fill="FFFFFF"/>
          </w:tcPr>
          <w:p w14:paraId="44D2097D">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Preserves physical forms</w:t>
            </w:r>
          </w:p>
        </w:tc>
        <w:tc>
          <w:tcPr>
            <w:tcW w:w="0" w:type="auto"/>
            <w:tcBorders>
              <w:top w:val="nil"/>
              <w:left w:val="nil"/>
              <w:bottom w:val="single" w:color="000000" w:sz="12" w:space="0"/>
              <w:right w:val="nil"/>
            </w:tcBorders>
            <w:shd w:val="clear" w:color="auto" w:fill="FFFFFF"/>
          </w:tcPr>
          <w:p w14:paraId="2842090F">
            <w:pPr>
              <w:numPr>
                <w:ilvl w:val="0"/>
                <w:numId w:val="0"/>
              </w:numPr>
              <w:bidi w:val="0"/>
              <w:jc w:val="center"/>
              <w:rPr>
                <w:rFonts w:hint="default"/>
                <w:b w:val="0"/>
                <w:color w:val="000000"/>
                <w:sz w:val="21"/>
                <w:szCs w:val="21"/>
                <w:vertAlign w:val="baseline"/>
                <w:lang w:val="en-US" w:eastAsia="zh-CN"/>
              </w:rPr>
            </w:pPr>
            <w:r>
              <w:rPr>
                <w:rFonts w:hint="eastAsia"/>
                <w:b w:val="0"/>
                <w:color w:val="000000"/>
                <w:sz w:val="21"/>
                <w:szCs w:val="21"/>
                <w:vertAlign w:val="baseline"/>
                <w:lang w:val="en-US" w:eastAsia="zh-CN"/>
              </w:rPr>
              <w:t>Preserves living craft systems(artifacts, processes, and human expertise)</w:t>
            </w:r>
          </w:p>
        </w:tc>
      </w:tr>
    </w:tbl>
    <w:p w14:paraId="0FFABB80">
      <w:pPr>
        <w:numPr>
          <w:ilvl w:val="0"/>
          <w:numId w:val="0"/>
        </w:numPr>
        <w:bidi w:val="0"/>
        <w:spacing w:before="0" w:beforeLines="0" w:after="0" w:afterLines="0" w:line="240" w:lineRule="auto"/>
        <w:ind w:leftChars="0"/>
        <w:rPr>
          <w:rFonts w:hint="default"/>
          <w:lang w:val="en-US" w:eastAsia="zh-CN"/>
        </w:rPr>
      </w:pPr>
    </w:p>
    <w:p w14:paraId="2B97DD7E">
      <w:pPr>
        <w:bidi w:val="0"/>
        <w:ind w:firstLine="480" w:firstLineChars="200"/>
        <w:rPr>
          <w:rFonts w:hint="default"/>
          <w:lang w:val="en-US" w:eastAsia="zh-CN"/>
        </w:rPr>
      </w:pPr>
      <w:r>
        <w:rPr>
          <w:rFonts w:hint="default"/>
          <w:lang w:val="en-US" w:eastAsia="zh-CN"/>
        </w:rPr>
        <w:t>The handweaving technique of Nanjing Yunjin brocade relies on the complex, highly coordinated operation of the Dahualou (Large Pattern Tower) wooden loom, which traditionally requires two artisans working in synchronization. To authentically represent this intricate practice, the Digital Twin is constructed across three interdependent layers:</w:t>
      </w:r>
    </w:p>
    <w:p w14:paraId="4577E8C4">
      <w:pPr>
        <w:bidi w:val="0"/>
        <w:ind w:firstLine="482" w:firstLineChars="200"/>
        <w:rPr>
          <w:rFonts w:hint="default"/>
          <w:lang w:val="en-US" w:eastAsia="zh-CN"/>
        </w:rPr>
      </w:pPr>
      <w:r>
        <w:rPr>
          <w:rFonts w:hint="eastAsia"/>
          <w:b/>
          <w:bCs/>
          <w:lang w:val="en-US" w:eastAsia="zh-CN"/>
        </w:rPr>
        <w:t xml:space="preserve">1. </w:t>
      </w:r>
      <w:r>
        <w:rPr>
          <w:rFonts w:hint="default"/>
          <w:b/>
          <w:bCs/>
          <w:lang w:val="en-US" w:eastAsia="zh-CN"/>
        </w:rPr>
        <w:t>Loom Model (Structural Layer):</w:t>
      </w:r>
      <w:r>
        <w:rPr>
          <w:rFonts w:hint="default"/>
          <w:lang w:val="en-US" w:eastAsia="zh-CN"/>
        </w:rPr>
        <w:t xml:space="preserve"> A high-precision mechanical replica of the wooden loom. Rather than modeling a hollow shell, this layer encodes the kinetic constraints, gear engagements, tension dynamics, and material properties of the loom's physical components</w:t>
      </w:r>
      <w:r>
        <w:rPr>
          <w:rFonts w:hint="default"/>
          <w:lang w:val="en-US" w:eastAsia="zh-CN"/>
        </w:rPr>
        <w:fldChar w:fldCharType="begin"/>
      </w:r>
      <w:r>
        <w:rPr>
          <w:rFonts w:hint="default"/>
          <w:lang w:val="en-US" w:eastAsia="zh-CN"/>
        </w:rPr>
        <w:instrText xml:space="preserve"> REF _Ref28179 \r \h </w:instrText>
      </w:r>
      <w:r>
        <w:rPr>
          <w:rFonts w:hint="default"/>
          <w:lang w:val="en-US" w:eastAsia="zh-CN"/>
        </w:rPr>
        <w:fldChar w:fldCharType="separate"/>
      </w:r>
      <w:r>
        <w:rPr>
          <w:rFonts w:hint="default"/>
          <w:lang w:val="en-US" w:eastAsia="zh-CN"/>
        </w:rPr>
        <w:t>[18]</w:t>
      </w:r>
      <w:r>
        <w:rPr>
          <w:rFonts w:hint="default"/>
          <w:lang w:val="en-US" w:eastAsia="zh-CN"/>
        </w:rPr>
        <w:fldChar w:fldCharType="end"/>
      </w:r>
      <w:r>
        <w:rPr>
          <w:rFonts w:hint="default"/>
          <w:lang w:val="en-US" w:eastAsia="zh-CN"/>
        </w:rPr>
        <w:t>.</w:t>
      </w:r>
    </w:p>
    <w:p w14:paraId="0192D878">
      <w:pPr>
        <w:bidi w:val="0"/>
        <w:ind w:firstLine="482" w:firstLineChars="200"/>
        <w:rPr>
          <w:rFonts w:hint="default"/>
          <w:lang w:val="en-US" w:eastAsia="zh-CN"/>
        </w:rPr>
      </w:pPr>
      <w:r>
        <w:rPr>
          <w:rFonts w:hint="eastAsia"/>
          <w:b/>
          <w:bCs/>
          <w:lang w:val="en-US" w:eastAsia="zh-CN"/>
        </w:rPr>
        <w:t xml:space="preserve">2. </w:t>
      </w:r>
      <w:r>
        <w:rPr>
          <w:rFonts w:hint="default"/>
          <w:b/>
          <w:bCs/>
          <w:lang w:val="en-US" w:eastAsia="zh-CN"/>
        </w:rPr>
        <w:t xml:space="preserve">Craft Process Model (Procedural Layer): </w:t>
      </w:r>
      <w:r>
        <w:rPr>
          <w:rFonts w:hint="default"/>
          <w:lang w:val="en-US" w:eastAsia="zh-CN"/>
        </w:rPr>
        <w:t>A programmatic mapping of the weaving workflow. Complex procedural steps—such as pattern-thread knotting (Tiaohua Jieben), upper-loom pattern pulling, and lower-loom shuttle weaving—are translated into algorithmic logic and parameter-driven paths.</w:t>
      </w:r>
    </w:p>
    <w:p w14:paraId="473D22A3">
      <w:pPr>
        <w:bidi w:val="0"/>
        <w:ind w:firstLine="482" w:firstLineChars="200"/>
        <w:rPr>
          <w:rFonts w:hint="eastAsia"/>
          <w:lang w:val="en-US" w:eastAsia="zh-CN"/>
        </w:rPr>
      </w:pPr>
      <w:r>
        <w:rPr>
          <w:rFonts w:hint="eastAsia"/>
          <w:b/>
          <w:bCs/>
          <w:lang w:val="en-US" w:eastAsia="zh-CN"/>
        </w:rPr>
        <w:t xml:space="preserve">3. </w:t>
      </w:r>
      <w:r>
        <w:rPr>
          <w:rFonts w:hint="default"/>
          <w:b/>
          <w:bCs/>
          <w:lang w:val="en-US" w:eastAsia="zh-CN"/>
        </w:rPr>
        <w:t xml:space="preserve">Production Operation Model (Human-Centric Layer): </w:t>
      </w:r>
      <w:r>
        <w:rPr>
          <w:rFonts w:hint="default"/>
          <w:lang w:val="en-US" w:eastAsia="zh-CN"/>
        </w:rPr>
        <w:t xml:space="preserve">A dynamic capture of human-machine interaction. Motion data, force application, rhythm, and tacit body language between the two artisans are </w:t>
      </w:r>
      <w:r>
        <w:rPr>
          <w:rFonts w:hint="eastAsia"/>
          <w:lang w:val="en-US" w:eastAsia="zh-CN"/>
        </w:rPr>
        <w:t>digitised</w:t>
      </w:r>
      <w:r>
        <w:rPr>
          <w:rFonts w:hint="default"/>
          <w:lang w:val="en-US" w:eastAsia="zh-CN"/>
        </w:rPr>
        <w:t>, mapping the collaborative human effort essential</w:t>
      </w:r>
      <w:r>
        <w:rPr>
          <w:rFonts w:hint="eastAsia"/>
          <w:lang w:val="en-US" w:eastAsia="zh-CN"/>
        </w:rPr>
        <w:t xml:space="preserve"> to the craft</w:t>
      </w:r>
      <w:r>
        <w:rPr>
          <w:rFonts w:hint="eastAsia"/>
          <w:lang w:val="en-US" w:eastAsia="zh-CN"/>
        </w:rPr>
        <w:fldChar w:fldCharType="begin"/>
      </w:r>
      <w:r>
        <w:rPr>
          <w:rFonts w:hint="eastAsia"/>
          <w:lang w:val="en-US" w:eastAsia="zh-CN"/>
        </w:rPr>
        <w:instrText xml:space="preserve"> REF _Ref31667 \r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p>
    <w:p w14:paraId="46EDEA95">
      <w:pPr>
        <w:bidi w:val="0"/>
        <w:ind w:firstLine="482" w:firstLineChars="200"/>
        <w:rPr>
          <w:rFonts w:hint="default"/>
          <w:b/>
          <w:bCs/>
          <w:lang w:val="en-US" w:eastAsia="zh-CN"/>
        </w:rPr>
      </w:pPr>
      <w:r>
        <w:rPr>
          <w:rFonts w:hint="eastAsia"/>
          <w:b/>
          <w:bCs/>
          <w:lang w:val="en-US" w:eastAsia="zh-CN"/>
        </w:rPr>
        <w:t xml:space="preserve">(2) </w:t>
      </w:r>
      <w:r>
        <w:rPr>
          <w:rFonts w:hint="default"/>
          <w:b/>
          <w:bCs/>
          <w:lang w:val="en-US" w:eastAsia="zh-CN"/>
        </w:rPr>
        <w:t>Strategic Advantages for Intangible Heritage Preservation</w:t>
      </w:r>
    </w:p>
    <w:p w14:paraId="2A56FFB7">
      <w:pPr>
        <w:bidi w:val="0"/>
        <w:ind w:firstLine="480" w:firstLineChars="200"/>
        <w:rPr>
          <w:rFonts w:hint="default"/>
          <w:lang w:val="en-US" w:eastAsia="zh-CN"/>
        </w:rPr>
      </w:pPr>
      <w:r>
        <w:rPr>
          <w:rFonts w:hint="default"/>
          <w:lang w:val="en-US" w:eastAsia="zh-CN"/>
        </w:rPr>
        <w:t>By upgrading from static 3D digitization to a dynamic Digital Twin, the preservation of Nanjing Yunjin brocade achieves three critical breakthroughs:</w:t>
      </w:r>
    </w:p>
    <w:p w14:paraId="24172588">
      <w:pPr>
        <w:bidi w:val="0"/>
        <w:ind w:firstLine="482" w:firstLineChars="200"/>
        <w:rPr>
          <w:rFonts w:hint="default"/>
          <w:lang w:val="en-US" w:eastAsia="zh-CN"/>
        </w:rPr>
      </w:pPr>
      <w:r>
        <w:rPr>
          <w:rFonts w:hint="eastAsia"/>
          <w:b/>
          <w:bCs/>
          <w:lang w:val="en-US" w:eastAsia="zh-CN"/>
        </w:rPr>
        <w:t xml:space="preserve">1. </w:t>
      </w:r>
      <w:r>
        <w:rPr>
          <w:rFonts w:hint="default"/>
          <w:b/>
          <w:bCs/>
          <w:lang w:val="en-US" w:eastAsia="zh-CN"/>
        </w:rPr>
        <w:t xml:space="preserve">Preservation of Technical Details: </w:t>
      </w:r>
      <w:r>
        <w:rPr>
          <w:rFonts w:hint="default"/>
          <w:lang w:val="en-US" w:eastAsia="zh-CN"/>
        </w:rPr>
        <w:t>The system captures micro-level mechanical movements and thread-tension shifts during weaving, preventing technical knowledge from being lost as physical wooden looms age or degrade</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[8]</w:t>
      </w:r>
      <w:r>
        <w:rPr>
          <w:rFonts w:hint="default"/>
          <w:lang w:val="en-US" w:eastAsia="zh-CN"/>
        </w:rPr>
        <w:fldChar w:fldCharType="end"/>
      </w:r>
      <w:r>
        <w:rPr>
          <w:rFonts w:hint="default"/>
          <w:lang w:val="en-US" w:eastAsia="zh-CN"/>
        </w:rPr>
        <w:t>.</w:t>
      </w:r>
    </w:p>
    <w:p w14:paraId="01E914C6">
      <w:pPr>
        <w:bidi w:val="0"/>
        <w:ind w:firstLine="482" w:firstLineChars="200"/>
        <w:rPr>
          <w:rFonts w:hint="default"/>
          <w:lang w:val="en-US" w:eastAsia="zh-CN"/>
        </w:rPr>
      </w:pPr>
      <w:r>
        <w:rPr>
          <w:rFonts w:hint="eastAsia"/>
          <w:b/>
          <w:bCs/>
          <w:lang w:val="en-US" w:eastAsia="zh-CN"/>
        </w:rPr>
        <w:t xml:space="preserve">2. </w:t>
      </w:r>
      <w:r>
        <w:rPr>
          <w:rFonts w:hint="default"/>
          <w:b/>
          <w:bCs/>
          <w:lang w:val="en-US" w:eastAsia="zh-CN"/>
        </w:rPr>
        <w:t>Preservation of Operational Logic:</w:t>
      </w:r>
      <w:r>
        <w:rPr>
          <w:rFonts w:hint="default"/>
          <w:lang w:val="en-US" w:eastAsia="zh-CN"/>
        </w:rPr>
        <w:t xml:space="preserve"> It makes explicit the tacit, orally transmitted knowledge, such as the implicit rules connecting pattern codes to loom thread manipulation, converting unwritten traditions into a searchable, reproducible, and verifiable database</w:t>
      </w:r>
      <w:r>
        <w:rPr>
          <w:rFonts w:hint="default"/>
          <w:lang w:val="en-US" w:eastAsia="zh-CN"/>
        </w:rPr>
        <w:fldChar w:fldCharType="begin"/>
      </w:r>
      <w:r>
        <w:rPr>
          <w:rFonts w:hint="default"/>
          <w:lang w:val="en-US" w:eastAsia="zh-CN"/>
        </w:rPr>
        <w:instrText xml:space="preserve"> REF _Ref29309 \r \h </w:instrText>
      </w:r>
      <w:r>
        <w:rPr>
          <w:rFonts w:hint="default"/>
          <w:lang w:val="en-US" w:eastAsia="zh-CN"/>
        </w:rPr>
        <w:fldChar w:fldCharType="separate"/>
      </w:r>
      <w:r>
        <w:rPr>
          <w:rFonts w:hint="default"/>
          <w:lang w:val="en-US" w:eastAsia="zh-CN"/>
        </w:rPr>
        <w:t>[</w:t>
      </w:r>
      <w:r>
        <w:rPr>
          <w:rFonts w:hint="eastAsia"/>
          <w:lang w:val="en-US" w:eastAsia="zh-CN"/>
        </w:rPr>
        <w:t>15,16</w:t>
      </w:r>
      <w:r>
        <w:rPr>
          <w:rFonts w:hint="default"/>
          <w:lang w:val="en-US" w:eastAsia="zh-CN"/>
        </w:rPr>
        <w:t>]</w:t>
      </w:r>
      <w:r>
        <w:rPr>
          <w:rFonts w:hint="default"/>
          <w:lang w:val="en-US" w:eastAsia="zh-CN"/>
        </w:rPr>
        <w:fldChar w:fldCharType="end"/>
      </w:r>
      <w:r>
        <w:rPr>
          <w:rFonts w:hint="default"/>
          <w:lang w:val="en-US" w:eastAsia="zh-CN"/>
        </w:rPr>
        <w:t>.</w:t>
      </w:r>
    </w:p>
    <w:p w14:paraId="7B6E8122">
      <w:pPr>
        <w:bidi w:val="0"/>
        <w:ind w:firstLine="482" w:firstLineChars="200"/>
        <w:rPr>
          <w:rFonts w:hint="default"/>
          <w:lang w:val="en-US" w:eastAsia="zh-CN"/>
        </w:rPr>
      </w:pPr>
      <w:r>
        <w:rPr>
          <w:rFonts w:hint="eastAsia"/>
          <w:b/>
          <w:bCs/>
          <w:lang w:val="en-US" w:eastAsia="zh-CN"/>
        </w:rPr>
        <w:t xml:space="preserve">3. </w:t>
      </w:r>
      <w:r>
        <w:rPr>
          <w:rFonts w:hint="default"/>
          <w:b/>
          <w:bCs/>
          <w:lang w:val="en-US" w:eastAsia="zh-CN"/>
        </w:rPr>
        <w:t xml:space="preserve">Preservation of Artisanal Expertise: </w:t>
      </w:r>
      <w:r>
        <w:rPr>
          <w:rFonts w:hint="default"/>
          <w:lang w:val="en-US" w:eastAsia="zh-CN"/>
        </w:rPr>
        <w:t>By digitizing the rhythm, force, and implicit coordination of master craftspeople, the system transforms intangible, embodied experience into quantifiable digital assets, providing a precise foundation for future educational tools, interactive public exhibitions, and authentic cultural transmission to younger generations</w:t>
      </w:r>
      <w:r>
        <w:rPr>
          <w:rFonts w:hint="default"/>
          <w:lang w:val="en-US" w:eastAsia="zh-CN"/>
        </w:rPr>
        <w:fldChar w:fldCharType="begin"/>
      </w:r>
      <w:r>
        <w:rPr>
          <w:rFonts w:hint="default"/>
          <w:lang w:val="en-US" w:eastAsia="zh-CN"/>
        </w:rPr>
        <w:instrText xml:space="preserve"> REF _Ref31667 \r \h </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default"/>
          <w:lang w:val="en-US" w:eastAsia="zh-CN"/>
        </w:rPr>
        <w:t>.</w:t>
      </w:r>
    </w:p>
    <w:p w14:paraId="46BFDA32">
      <w:pPr>
        <w:pStyle w:val="4"/>
        <w:bidi w:val="0"/>
        <w:rPr>
          <w:rFonts w:hint="default"/>
          <w:lang w:val="en-US" w:eastAsia="zh-CN"/>
        </w:rPr>
      </w:pPr>
      <w:bookmarkStart w:id="27" w:name="_Toc21145"/>
      <w:r>
        <w:rPr>
          <w:rFonts w:hint="default"/>
          <w:lang w:val="en-US" w:eastAsia="zh-CN"/>
        </w:rPr>
        <w:t>2.4.4 Immersive Learning for Experiential Heritage Transmission</w:t>
      </w:r>
      <w:bookmarkEnd w:id="27"/>
    </w:p>
    <w:p w14:paraId="4FFBEF01">
      <w:pPr>
        <w:bidi w:val="0"/>
        <w:ind w:firstLine="480" w:firstLineChars="200"/>
        <w:rPr>
          <w:rFonts w:hint="default"/>
          <w:lang w:val="en-US" w:eastAsia="zh-CN"/>
        </w:rPr>
      </w:pPr>
      <w:r>
        <w:rPr>
          <w:rFonts w:hint="default"/>
          <w:lang w:val="en-US" w:eastAsia="zh-CN"/>
        </w:rPr>
        <w:t>While AI structures heritage knowledge and the Digital Twin preserves the operational logic of the craft, neither in itself transmits that knowledge to a new generation. The third component of the ecosystem, immersive learning, is the mechanism through which the digitised craft system becomes learnable. Its purpose is to shift the learner's position from that of an observer of cultural information to that of a participant in cultural practice.</w:t>
      </w:r>
    </w:p>
    <w:p w14:paraId="0C2BCEE5">
      <w:pPr>
        <w:bidi w:val="0"/>
        <w:ind w:firstLine="480" w:firstLineChars="200"/>
        <w:rPr>
          <w:rFonts w:hint="default"/>
          <w:lang w:val="en-US" w:eastAsia="zh-CN"/>
        </w:rPr>
      </w:pPr>
      <w:r>
        <w:rPr>
          <w:rFonts w:hint="default"/>
          <w:lang w:val="en-US" w:eastAsia="zh-CN"/>
        </w:rPr>
        <w:t>The relationship between immersive learning and traditional apprenticeship is one of funnelling rather than substitution. At present, the number of young people who gain any direct exposure to Yunjin weaving each year is measured in tens. The objective of the immersive layer is to enlarge this pool by several orders of magnitude, so that even a very low conversion rate yields an absolute number of committed learners substantially greater than the current intake. The framework does not shorten the training cycle; it widens the entrance to it.</w:t>
      </w:r>
    </w:p>
    <w:p w14:paraId="6D396690">
      <w:pPr>
        <w:bidi w:val="0"/>
        <w:ind w:firstLine="480" w:firstLineChars="200"/>
        <w:rPr>
          <w:rFonts w:hint="default"/>
          <w:lang w:val="en-US" w:eastAsia="zh-CN"/>
        </w:rPr>
      </w:pPr>
      <w:r>
        <w:rPr>
          <w:rFonts w:hint="default"/>
          <w:lang w:val="en-US" w:eastAsia="zh-CN"/>
        </w:rPr>
        <w:t>This shift is grounded in two established pedagogical traditions. Experiential learning theory holds that knowledge is constructed through a cycle of concrete experience, reflective observation, abstract conceptualisation and active experimentation</w:t>
      </w:r>
      <w:r>
        <w:rPr>
          <w:rFonts w:hint="default"/>
          <w:lang w:val="en-US" w:eastAsia="zh-CN"/>
        </w:rPr>
        <w:fldChar w:fldCharType="begin"/>
      </w:r>
      <w:r>
        <w:rPr>
          <w:rFonts w:hint="default"/>
          <w:lang w:val="en-US" w:eastAsia="zh-CN"/>
        </w:rPr>
        <w:instrText xml:space="preserve"> REF _Ref28270 \r \h </w:instrText>
      </w:r>
      <w:r>
        <w:rPr>
          <w:rFonts w:hint="default"/>
          <w:lang w:val="en-US" w:eastAsia="zh-CN"/>
        </w:rPr>
        <w:fldChar w:fldCharType="separate"/>
      </w:r>
      <w:r>
        <w:rPr>
          <w:rFonts w:hint="default"/>
          <w:lang w:val="en-US" w:eastAsia="zh-CN"/>
        </w:rPr>
        <w:t>[21]</w:t>
      </w:r>
      <w:r>
        <w:rPr>
          <w:rFonts w:hint="default"/>
          <w:lang w:val="en-US" w:eastAsia="zh-CN"/>
        </w:rPr>
        <w:fldChar w:fldCharType="end"/>
      </w:r>
      <w:r>
        <w:rPr>
          <w:rFonts w:hint="default"/>
          <w:lang w:val="en-US" w:eastAsia="zh-CN"/>
        </w:rPr>
        <w:t>; a craft such as Yunjin weaving, in which competence resides in gesture, timing and tactile judgement, is poorly served by any medium that offers only the third of these stages. Situated learning theory further argues that skill acquisition is inseparable from participation in the community that practises it, beginning with legitimate peripheral participation before progressing to full membership</w:t>
      </w:r>
      <w:r>
        <w:rPr>
          <w:rFonts w:hint="default"/>
          <w:lang w:val="en-US" w:eastAsia="zh-CN"/>
        </w:rPr>
        <w:fldChar w:fldCharType="begin"/>
      </w:r>
      <w:r>
        <w:rPr>
          <w:rFonts w:hint="default"/>
          <w:lang w:val="en-US" w:eastAsia="zh-CN"/>
        </w:rPr>
        <w:instrText xml:space="preserve"> REF _Ref28358 \r \h </w:instrText>
      </w:r>
      <w:r>
        <w:rPr>
          <w:rFonts w:hint="default"/>
          <w:lang w:val="en-US" w:eastAsia="zh-CN"/>
        </w:rPr>
        <w:fldChar w:fldCharType="separate"/>
      </w:r>
      <w:r>
        <w:rPr>
          <w:rFonts w:hint="default"/>
          <w:lang w:val="en-US" w:eastAsia="zh-CN"/>
        </w:rPr>
        <w:t>[22]</w:t>
      </w:r>
      <w:r>
        <w:rPr>
          <w:rFonts w:hint="default"/>
          <w:lang w:val="en-US" w:eastAsia="zh-CN"/>
        </w:rPr>
        <w:fldChar w:fldCharType="end"/>
      </w:r>
      <w:r>
        <w:rPr>
          <w:rFonts w:hint="default"/>
          <w:lang w:val="en-US" w:eastAsia="zh-CN"/>
        </w:rPr>
        <w:t>. The traditional shifu–tudi (master–apprentice) relationship is a textbook instance of this model; its weakness is not pedagogical but logistical, in that it admits only a handful of learners per master and requires years of co-location. Immersive learning is proposed here not as a replacement for that relationship but as a scalable antechamber to it: a means of giving very large numbers of learners a legitimate, embodied, low-cost first encounter with the craft, from which a small number may proceed to physical apprenticeship</w:t>
      </w:r>
      <w:r>
        <w:rPr>
          <w:rFonts w:hint="default"/>
          <w:lang w:val="en-US" w:eastAsia="zh-CN"/>
        </w:rPr>
        <w:fldChar w:fldCharType="begin"/>
      </w:r>
      <w:r>
        <w:rPr>
          <w:rFonts w:hint="default"/>
          <w:lang w:val="en-US" w:eastAsia="zh-CN"/>
        </w:rPr>
        <w:instrText xml:space="preserve"> REF _Ref26360 \r \h </w:instrText>
      </w:r>
      <w:r>
        <w:rPr>
          <w:rFonts w:hint="default"/>
          <w:lang w:val="en-US" w:eastAsia="zh-CN"/>
        </w:rPr>
        <w:fldChar w:fldCharType="separate"/>
      </w:r>
      <w:r>
        <w:rPr>
          <w:rFonts w:hint="default"/>
          <w:lang w:val="en-US" w:eastAsia="zh-CN"/>
        </w:rPr>
        <w:t>[23]</w:t>
      </w:r>
      <w:r>
        <w:rPr>
          <w:rFonts w:hint="default"/>
          <w:lang w:val="en-US" w:eastAsia="zh-CN"/>
        </w:rPr>
        <w:fldChar w:fldCharType="end"/>
      </w:r>
      <w:r>
        <w:rPr>
          <w:rFonts w:hint="default"/>
          <w:lang w:val="en-US" w:eastAsia="zh-CN"/>
        </w:rPr>
        <w:t>.</w:t>
      </w:r>
    </w:p>
    <w:p w14:paraId="216675B6">
      <w:pPr>
        <w:bidi w:val="0"/>
        <w:ind w:firstLine="482" w:firstLineChars="200"/>
        <w:rPr>
          <w:rFonts w:hint="default"/>
          <w:b/>
          <w:bCs/>
          <w:lang w:val="en-US" w:eastAsia="zh-CN"/>
        </w:rPr>
      </w:pPr>
      <w:r>
        <w:rPr>
          <w:rFonts w:hint="default"/>
          <w:b/>
          <w:bCs/>
          <w:lang w:val="en-US" w:eastAsia="zh-CN"/>
        </w:rPr>
        <w:t>(1) A three-tier progressive learning pathway</w:t>
      </w:r>
    </w:p>
    <w:p w14:paraId="47CDB65E">
      <w:pPr>
        <w:bidi w:val="0"/>
        <w:ind w:firstLine="480" w:firstLineChars="200"/>
        <w:rPr>
          <w:rFonts w:hint="default"/>
          <w:lang w:val="en-US" w:eastAsia="zh-CN"/>
        </w:rPr>
      </w:pPr>
      <w:r>
        <w:rPr>
          <w:rFonts w:hint="default"/>
          <w:lang w:val="en-US" w:eastAsia="zh-CN"/>
        </w:rPr>
        <w:t>The ecosystem organises immersive content into three tiers of increasing agency, each drawing on a different layer of the Digital Twin described in Section 2.4.3.</w:t>
      </w:r>
    </w:p>
    <w:p w14:paraId="76FC4D16">
      <w:pPr>
        <w:bidi w:val="0"/>
        <w:ind w:firstLine="482" w:firstLineChars="200"/>
        <w:rPr>
          <w:rFonts w:hint="default"/>
          <w:lang w:val="en-US" w:eastAsia="zh-CN"/>
        </w:rPr>
      </w:pPr>
      <w:r>
        <w:rPr>
          <w:rFonts w:hint="default"/>
          <w:b/>
          <w:bCs/>
          <w:lang w:val="en-US" w:eastAsia="zh-CN"/>
        </w:rPr>
        <w:t xml:space="preserve">Tier 1 — Perceptual engagement. </w:t>
      </w:r>
      <w:r>
        <w:rPr>
          <w:rFonts w:hint="default"/>
          <w:lang w:val="en-US" w:eastAsia="zh-CN"/>
        </w:rPr>
        <w:t>Augmented-reality overlays in the museum gallery and 360-degree panoramic reconstructions allow users to inspect the Dahualou loom at a scale and from angles that are impossible in a physical display case, with annotation layers revealing the function of components hidden inside the loom frame</w:t>
      </w:r>
      <w:r>
        <w:rPr>
          <w:rFonts w:hint="default"/>
          <w:lang w:val="en-US" w:eastAsia="zh-CN"/>
        </w:rPr>
        <w:fldChar w:fldCharType="begin"/>
      </w:r>
      <w:r>
        <w:rPr>
          <w:rFonts w:hint="default"/>
          <w:lang w:val="en-US" w:eastAsia="zh-CN"/>
        </w:rPr>
        <w:instrText xml:space="preserve"> REF _Ref3656 \r \h </w:instrText>
      </w:r>
      <w:r>
        <w:rPr>
          <w:rFonts w:hint="default"/>
          <w:lang w:val="en-US" w:eastAsia="zh-CN"/>
        </w:rPr>
        <w:fldChar w:fldCharType="separate"/>
      </w:r>
      <w:r>
        <w:rPr>
          <w:rFonts w:hint="default"/>
          <w:lang w:val="en-US" w:eastAsia="zh-CN"/>
        </w:rPr>
        <w:t>[20]</w:t>
      </w:r>
      <w:r>
        <w:rPr>
          <w:rFonts w:hint="default"/>
          <w:lang w:val="en-US" w:eastAsia="zh-CN"/>
        </w:rPr>
        <w:fldChar w:fldCharType="end"/>
      </w:r>
      <w:r>
        <w:rPr>
          <w:rFonts w:hint="default"/>
          <w:lang w:val="en-US" w:eastAsia="zh-CN"/>
        </w:rPr>
        <w:t>. This tier draws on the Structural Layer of the twin and targets recognition and comprehension.</w:t>
      </w:r>
    </w:p>
    <w:p w14:paraId="657DD723">
      <w:pPr>
        <w:bidi w:val="0"/>
        <w:ind w:firstLine="482" w:firstLineChars="200"/>
        <w:rPr>
          <w:rFonts w:hint="default"/>
          <w:lang w:val="en-US" w:eastAsia="zh-CN"/>
        </w:rPr>
      </w:pPr>
      <w:r>
        <w:rPr>
          <w:rFonts w:hint="default"/>
          <w:b/>
          <w:bCs/>
          <w:lang w:val="en-US" w:eastAsia="zh-CN"/>
        </w:rPr>
        <w:t xml:space="preserve">Tier 2 — Procedural simulation. </w:t>
      </w:r>
      <w:r>
        <w:rPr>
          <w:rFonts w:hint="default"/>
          <w:lang w:val="en-US" w:eastAsia="zh-CN"/>
        </w:rPr>
        <w:t>Virtual-reality modules place the learner at the loom. Hand-tracking and, where hardware permits, force-feedback gloves reproduce the resistance of the warp and the rhythm of the shuttle pass, while the parametric loom model responds to the learner's input according to the kinetic constraints encoded in the twin rather than through pre-rendered animation. Crucially, because the Dahualou loom is operated by two artisans working in synchronisation — a tiaohua operator seated in the upper pattern tower and a weaver at the lower loom bed — the simulation is designed as a two-player cooperative task. Two learners must coordinate their timing in order to produce a correct weft, which makes the collaborative and interdependent nature of the craft an experienced constraint rather than a stated fact. This tier draws on the Procedural and Human-Centric Layers and targets application.</w:t>
      </w:r>
    </w:p>
    <w:p w14:paraId="3C5DB030">
      <w:pPr>
        <w:bidi w:val="0"/>
        <w:ind w:firstLine="482" w:firstLineChars="200"/>
        <w:rPr>
          <w:rFonts w:hint="default"/>
          <w:lang w:val="en-US" w:eastAsia="zh-CN"/>
        </w:rPr>
      </w:pPr>
      <w:r>
        <w:rPr>
          <w:rFonts w:hint="default"/>
          <w:b/>
          <w:bCs/>
          <w:lang w:val="en-US" w:eastAsia="zh-CN"/>
        </w:rPr>
        <w:t xml:space="preserve">Tier 3 — Creative appropriation. </w:t>
      </w:r>
      <w:r>
        <w:rPr>
          <w:rFonts w:hint="default"/>
          <w:lang w:val="en-US" w:eastAsia="zh-CN"/>
        </w:rPr>
        <w:t>A sandbox environment allows learners to compose their own patterns using the motif vocabulary held in the AI pattern database (Section 2.4.2), receive automated feedback on whether a design is weavable under the structural constraints of the loom, and see their design rendered as simulated cloth. This tier targets synthesis and creation, and functions as the entry point to the community layer described in Section 2.4.5.</w:t>
      </w:r>
    </w:p>
    <w:p w14:paraId="1117EB01">
      <w:pPr>
        <w:bidi w:val="0"/>
        <w:ind w:firstLine="482" w:firstLineChars="200"/>
        <w:rPr>
          <w:rFonts w:hint="default"/>
          <w:b/>
          <w:bCs/>
          <w:lang w:val="en-US" w:eastAsia="zh-CN"/>
        </w:rPr>
      </w:pPr>
      <w:r>
        <w:rPr>
          <w:rFonts w:hint="default"/>
          <w:b/>
          <w:bCs/>
          <w:lang w:val="en-US" w:eastAsia="zh-CN"/>
        </w:rPr>
        <w:t>(2) Culturally grounded scaffolding</w:t>
      </w:r>
    </w:p>
    <w:p w14:paraId="26F5F342">
      <w:pPr>
        <w:bidi w:val="0"/>
        <w:ind w:firstLine="480" w:firstLineChars="200"/>
        <w:rPr>
          <w:rFonts w:hint="default"/>
          <w:lang w:val="en-US" w:eastAsia="zh-CN"/>
        </w:rPr>
      </w:pPr>
      <w:r>
        <w:rPr>
          <w:rFonts w:hint="default"/>
          <w:lang w:val="en-US" w:eastAsia="zh-CN"/>
        </w:rPr>
        <w:t>A recurring criticism of technologically driven heritage education is that it delivers spectacle without cultural content. Two design commitments guard against this. First, the tacit knowledge captured in the twin is surfaced as explicit instructional scaffolding: the mnemonic weaving ballads (koujue) through which Yunjin technique has historically been transmitted orally are used as the audio guidance track of the simulation, so that learners acquire the traditional verbal form alongside the physical action. Second, every motif in the sandbox carries its symbolic and historical annotation from the knowledge graph, so that pattern selection is a semantic act rather than a purely aesthetic one</w:t>
      </w:r>
      <w:r>
        <w:rPr>
          <w:rFonts w:hint="default"/>
          <w:lang w:val="en-US" w:eastAsia="zh-CN"/>
        </w:rPr>
        <w:fldChar w:fldCharType="begin"/>
      </w:r>
      <w:r>
        <w:rPr>
          <w:rFonts w:hint="default"/>
          <w:lang w:val="en-US" w:eastAsia="zh-CN"/>
        </w:rPr>
        <w:instrText xml:space="preserve"> REF _Ref26902 \r \h </w:instrText>
      </w:r>
      <w:r>
        <w:rPr>
          <w:rFonts w:hint="default"/>
          <w:lang w:val="en-US" w:eastAsia="zh-CN"/>
        </w:rPr>
        <w:fldChar w:fldCharType="separate"/>
      </w:r>
      <w:r>
        <w:rPr>
          <w:rFonts w:hint="default"/>
          <w:lang w:val="en-US" w:eastAsia="zh-CN"/>
        </w:rPr>
        <w:t>[14]</w:t>
      </w:r>
      <w:r>
        <w:rPr>
          <w:rFonts w:hint="default"/>
          <w:lang w:val="en-US" w:eastAsia="zh-CN"/>
        </w:rPr>
        <w:fldChar w:fldCharType="end"/>
      </w:r>
      <w:r>
        <w:rPr>
          <w:rFonts w:hint="default"/>
          <w:lang w:val="en-US" w:eastAsia="zh-CN"/>
        </w:rPr>
        <w:t>.</w:t>
      </w:r>
    </w:p>
    <w:p w14:paraId="36F443C1">
      <w:pPr>
        <w:bidi w:val="0"/>
        <w:ind w:firstLine="482" w:firstLineChars="200"/>
        <w:rPr>
          <w:rFonts w:hint="default"/>
          <w:b/>
          <w:bCs/>
          <w:lang w:val="en-US" w:eastAsia="zh-CN"/>
        </w:rPr>
      </w:pPr>
      <w:r>
        <w:rPr>
          <w:rFonts w:hint="default"/>
          <w:b/>
          <w:bCs/>
          <w:lang w:val="en-US" w:eastAsia="zh-CN"/>
        </w:rPr>
        <w:t>(3) Deployment and scalability</w:t>
      </w:r>
    </w:p>
    <w:p w14:paraId="31570A50">
      <w:pPr>
        <w:bidi w:val="0"/>
        <w:ind w:firstLine="480" w:firstLineChars="200"/>
        <w:rPr>
          <w:rFonts w:hint="default"/>
          <w:lang w:val="en-US" w:eastAsia="zh-CN"/>
        </w:rPr>
      </w:pPr>
      <w:r>
        <w:rPr>
          <w:rFonts w:hint="default"/>
          <w:lang w:val="en-US" w:eastAsia="zh-CN"/>
        </w:rPr>
        <w:t xml:space="preserve">A notable precedent can be found in the incorporation of Yunjin culture into the commercial mobile game Shining Nikki in 2021. Through collaboration with cultural experts including the Nanjing Yunjin Research Institute, the project translated traditional weaving patterns and aesthetic principles into digital fashion design, allowing Yunjin heritage to engage a large and predominantly younger online audience beyond the reach of many conventional museum </w:t>
      </w:r>
      <w:r>
        <w:rPr>
          <w:rFonts w:hint="eastAsia"/>
          <w:lang w:val="en-US" w:eastAsia="zh-CN"/>
        </w:rPr>
        <w:t>program</w:t>
      </w:r>
      <w:r>
        <w:rPr>
          <w:rFonts w:hint="default"/>
          <w:lang w:val="en-US" w:eastAsia="zh-CN"/>
        </w:rPr>
        <w:t>s</w:t>
      </w:r>
      <w:r>
        <w:rPr>
          <w:rFonts w:hint="default"/>
          <w:lang w:val="en-US" w:eastAsia="zh-CN"/>
        </w:rPr>
        <w:fldChar w:fldCharType="begin"/>
      </w:r>
      <w:r>
        <w:rPr>
          <w:rFonts w:hint="default"/>
          <w:lang w:val="en-US" w:eastAsia="zh-CN"/>
        </w:rPr>
        <w:instrText xml:space="preserve"> REF _Ref27852 \r \h </w:instrText>
      </w:r>
      <w:r>
        <w:rPr>
          <w:rFonts w:hint="default"/>
          <w:lang w:val="en-US" w:eastAsia="zh-CN"/>
        </w:rPr>
        <w:fldChar w:fldCharType="separate"/>
      </w:r>
      <w:r>
        <w:rPr>
          <w:rFonts w:hint="default"/>
          <w:lang w:val="en-US" w:eastAsia="zh-CN"/>
        </w:rPr>
        <w:t>[</w:t>
      </w:r>
      <w:r>
        <w:rPr>
          <w:rFonts w:hint="eastAsia"/>
          <w:lang w:val="en-US" w:eastAsia="zh-CN"/>
        </w:rPr>
        <w:t>23</w:t>
      </w:r>
      <w:r>
        <w:rPr>
          <w:rFonts w:hint="default"/>
          <w:lang w:val="en-US" w:eastAsia="zh-CN"/>
        </w:rPr>
        <w:t>]</w:t>
      </w:r>
      <w:r>
        <w:rPr>
          <w:rFonts w:hint="default"/>
          <w:lang w:val="en-US" w:eastAsia="zh-CN"/>
        </w:rPr>
        <w:fldChar w:fldCharType="end"/>
      </w:r>
      <w:r>
        <w:rPr>
          <w:rFonts w:hint="default"/>
          <w:lang w:val="en-US" w:eastAsia="zh-CN"/>
        </w:rPr>
        <w:t>. The tiered model treats such collaborations not as marketing but as the outermost ring of the learning pathway.</w:t>
      </w:r>
    </w:p>
    <w:p w14:paraId="1E407EE8">
      <w:pPr>
        <w:bidi w:val="0"/>
        <w:ind w:firstLine="482" w:firstLineChars="200"/>
        <w:rPr>
          <w:rFonts w:hint="default"/>
          <w:b/>
          <w:bCs/>
          <w:lang w:val="en-US" w:eastAsia="zh-CN"/>
        </w:rPr>
      </w:pPr>
      <w:r>
        <w:rPr>
          <w:rFonts w:hint="default"/>
          <w:b/>
          <w:bCs/>
          <w:lang w:val="en-US" w:eastAsia="zh-CN"/>
        </w:rPr>
        <w:t>(4) Assessment</w:t>
      </w:r>
    </w:p>
    <w:p w14:paraId="149293A3">
      <w:pPr>
        <w:bidi w:val="0"/>
        <w:ind w:firstLine="480" w:firstLineChars="200"/>
        <w:rPr>
          <w:rFonts w:hint="default"/>
          <w:lang w:val="en-US" w:eastAsia="zh-CN"/>
        </w:rPr>
      </w:pPr>
      <w:r>
        <w:rPr>
          <w:rFonts w:hint="default"/>
          <w:lang w:val="en-US" w:eastAsia="zh-CN"/>
        </w:rPr>
        <w:t>Because the modules are digital, participation generates interaction logs — task completion, error type and frequency, time on task, repeat-visit rate, progression between tiers — which provide a continuous, non-intrusive measure of engagement that conventional exhibition evaluation cannot obtain. These logs are proposed as the primary evidence base for the empirical validation identified as absent in Section 5.1, to be triangulated with pre- and post-tests of cultural knowledge and with qualitative interviews.</w:t>
      </w:r>
    </w:p>
    <w:p w14:paraId="6456377A">
      <w:pPr>
        <w:bidi w:val="0"/>
        <w:ind w:firstLine="482" w:firstLineChars="200"/>
        <w:rPr>
          <w:rFonts w:hint="default"/>
          <w:b/>
          <w:bCs/>
          <w:lang w:val="en-US" w:eastAsia="zh-CN"/>
        </w:rPr>
      </w:pPr>
      <w:r>
        <w:rPr>
          <w:rFonts w:hint="default"/>
          <w:b/>
          <w:bCs/>
          <w:lang w:val="en-US" w:eastAsia="zh-CN"/>
        </w:rPr>
        <w:t>(5) Design cautions</w:t>
      </w:r>
    </w:p>
    <w:p w14:paraId="58E851D0">
      <w:pPr>
        <w:bidi w:val="0"/>
        <w:ind w:firstLine="480" w:firstLineChars="200"/>
        <w:rPr>
          <w:rFonts w:hint="eastAsia"/>
          <w:lang w:val="en-US" w:eastAsia="zh-CN"/>
        </w:rPr>
      </w:pPr>
      <w:r>
        <w:rPr>
          <w:rFonts w:hint="default"/>
          <w:lang w:val="en-US" w:eastAsia="zh-CN"/>
        </w:rPr>
        <w:t>Three limitations are acknowledged in advance. Prolonged VR use induces simulator sickness in a non-trivial minority of users, which constrains session length and argues for AR and screen-based alternatives rather than universal VR. Fidelity is expensive, and beyond a certain point additional realism yields diminishing pedagogical returns. Most importantly, simulated weaving is not weaving: the ecosystem positions immersive learning as a pathway into practice and a means of preserving public literacy about the craft, not as a substitute for the embodied, material, years-long training through which mastery is actually acquir</w:t>
      </w:r>
      <w:r>
        <w:rPr>
          <w:rFonts w:hint="eastAsia"/>
          <w:lang w:val="en-US" w:eastAsia="zh-CN"/>
        </w:rPr>
        <w:t>ed.</w:t>
      </w:r>
    </w:p>
    <w:p w14:paraId="56E01554">
      <w:pPr>
        <w:pStyle w:val="4"/>
        <w:bidi w:val="0"/>
        <w:rPr>
          <w:rFonts w:hint="default"/>
          <w:lang w:val="en-US" w:eastAsia="zh-CN"/>
        </w:rPr>
      </w:pPr>
      <w:bookmarkStart w:id="28" w:name="_Toc29042"/>
      <w:r>
        <w:rPr>
          <w:rFonts w:hint="default"/>
          <w:lang w:val="en-US" w:eastAsia="zh-CN"/>
        </w:rPr>
        <w:t>2.4.5 Community Participation as the Sustaining Mechanism</w:t>
      </w:r>
      <w:bookmarkEnd w:id="28"/>
    </w:p>
    <w:p w14:paraId="4D14EF65">
      <w:pPr>
        <w:bidi w:val="0"/>
        <w:ind w:firstLine="420" w:firstLineChars="0"/>
        <w:rPr>
          <w:rFonts w:hint="default"/>
          <w:b w:val="0"/>
          <w:bCs w:val="0"/>
          <w:lang w:val="en-US" w:eastAsia="zh-CN"/>
        </w:rPr>
      </w:pPr>
      <w:r>
        <w:rPr>
          <w:rFonts w:hint="default"/>
          <w:b w:val="0"/>
          <w:bCs w:val="0"/>
          <w:lang w:val="en-US" w:eastAsia="zh-CN"/>
        </w:rPr>
        <w:t>The three preceding components are technological; none of them, individually or together, guarantees that transmission continues once a project's funding period ends. The fourth component addresses this directly. Community participation is treated here not as public outreach appended to a technical system, but as the mechanism that supplies the system with content, validates its cultural accuracy, and gives the actors involved a durable reason to sustain it. This position follows the participatory turn in heritage studies, in which heritage is understood as something continuously produced by communities rather than as an object held in custody on their behalf</w:t>
      </w:r>
      <w:r>
        <w:rPr>
          <w:rFonts w:hint="default"/>
          <w:b w:val="0"/>
          <w:bCs w:val="0"/>
          <w:lang w:val="en-US" w:eastAsia="zh-CN"/>
        </w:rPr>
        <w:fldChar w:fldCharType="begin"/>
      </w:r>
      <w:r>
        <w:rPr>
          <w:rFonts w:hint="default"/>
          <w:b w:val="0"/>
          <w:bCs w:val="0"/>
          <w:lang w:val="en-US" w:eastAsia="zh-CN"/>
        </w:rPr>
        <w:instrText xml:space="preserve"> REF _Ref13609 \r \h </w:instrText>
      </w:r>
      <w:r>
        <w:rPr>
          <w:rFonts w:hint="default"/>
          <w:b w:val="0"/>
          <w:bCs w:val="0"/>
          <w:lang w:val="en-US" w:eastAsia="zh-CN"/>
        </w:rPr>
        <w:fldChar w:fldCharType="separate"/>
      </w:r>
      <w:r>
        <w:rPr>
          <w:rFonts w:hint="default"/>
          <w:b w:val="0"/>
          <w:bCs w:val="0"/>
          <w:lang w:val="en-US" w:eastAsia="zh-CN"/>
        </w:rPr>
        <w:t>[9]</w:t>
      </w:r>
      <w:r>
        <w:rPr>
          <w:rFonts w:hint="default"/>
          <w:b w:val="0"/>
          <w:bCs w:val="0"/>
          <w:lang w:val="en-US" w:eastAsia="zh-CN"/>
        </w:rPr>
        <w:fldChar w:fldCharType="end"/>
      </w:r>
      <w:r>
        <w:rPr>
          <w:rFonts w:hint="default"/>
          <w:b w:val="0"/>
          <w:bCs w:val="0"/>
          <w:lang w:val="en-US" w:eastAsia="zh-CN"/>
        </w:rPr>
        <w:t>.</w:t>
      </w:r>
    </w:p>
    <w:p w14:paraId="7D2A41EE">
      <w:pPr>
        <w:bidi w:val="0"/>
        <w:ind w:firstLine="420" w:firstLineChars="0"/>
        <w:rPr>
          <w:rFonts w:hint="default"/>
          <w:b/>
          <w:bCs/>
          <w:lang w:val="en-US" w:eastAsia="zh-CN"/>
        </w:rPr>
      </w:pPr>
      <w:r>
        <w:rPr>
          <w:rFonts w:hint="default"/>
          <w:b/>
          <w:bCs/>
          <w:lang w:val="en-US" w:eastAsia="zh-CN"/>
        </w:rPr>
        <w:t>(1) Stakeholder structure</w:t>
      </w:r>
    </w:p>
    <w:p w14:paraId="73D45698">
      <w:pPr>
        <w:bidi w:val="0"/>
        <w:ind w:firstLine="420" w:firstLineChars="0"/>
        <w:rPr>
          <w:rFonts w:hint="default"/>
          <w:b w:val="0"/>
          <w:bCs w:val="0"/>
          <w:lang w:val="en-US" w:eastAsia="zh-CN"/>
        </w:rPr>
      </w:pPr>
      <w:r>
        <w:rPr>
          <w:rFonts w:hint="default"/>
          <w:b w:val="0"/>
          <w:bCs w:val="0"/>
          <w:lang w:val="en-US" w:eastAsia="zh-CN"/>
        </w:rPr>
        <w:t>Six groups of actors are identified, each with a distinct contribution and a distinct incentive. The ecosystem is viable only where each group's incentive is genuinely served.</w:t>
      </w:r>
    </w:p>
    <w:p w14:paraId="52047567">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eastAsia" w:ascii="Times New Roman" w:hAnsi="Times New Roman" w:eastAsia="黑体" w:cs="Times New Roman"/>
          <w:b/>
          <w:bCs/>
          <w:sz w:val="24"/>
          <w:szCs w:val="24"/>
          <w:lang w:val="en-US" w:eastAsia="zh-CN"/>
        </w:rPr>
      </w:pPr>
      <w:r>
        <w:rPr>
          <w:rFonts w:hint="default" w:ascii="Times New Roman" w:hAnsi="Times New Roman" w:cs="Times New Roman"/>
          <w:b/>
          <w:bCs/>
          <w:sz w:val="24"/>
          <w:szCs w:val="24"/>
        </w:rPr>
        <w:t xml:space="preserve">Table </w:t>
      </w:r>
      <w:r>
        <w:rPr>
          <w:rFonts w:hint="eastAsia" w:cs="Times New Roman"/>
          <w:b/>
          <w:bCs/>
          <w:sz w:val="24"/>
          <w:szCs w:val="24"/>
          <w:lang w:val="en-US" w:eastAsia="zh-CN"/>
        </w:rPr>
        <w:t>4</w:t>
      </w:r>
    </w:p>
    <w:p w14:paraId="48156E74">
      <w:pPr>
        <w:keepNext w:val="0"/>
        <w:keepLines w:val="0"/>
        <w:pageBreakBefore w:val="0"/>
        <w:widowControl w:val="0"/>
        <w:kinsoku/>
        <w:wordWrap/>
        <w:overflowPunct/>
        <w:topLinePunct w:val="0"/>
        <w:autoSpaceDE/>
        <w:autoSpaceDN/>
        <w:bidi w:val="0"/>
        <w:adjustRightInd/>
        <w:snapToGrid/>
        <w:spacing w:before="0" w:beforeLines="0"/>
        <w:textAlignment w:val="auto"/>
        <w:rPr>
          <w:rFonts w:hint="default" w:cs="Times New Roman"/>
          <w:b w:val="0"/>
          <w:bCs w:val="0"/>
          <w:i/>
          <w:iCs/>
          <w:sz w:val="24"/>
          <w:szCs w:val="24"/>
          <w:lang w:val="en-US" w:eastAsia="zh-CN"/>
        </w:rPr>
      </w:pPr>
      <w:r>
        <w:rPr>
          <w:rFonts w:hint="eastAsia" w:cs="Times New Roman"/>
          <w:b w:val="0"/>
          <w:bCs w:val="0"/>
          <w:i/>
          <w:iCs/>
          <w:sz w:val="24"/>
          <w:szCs w:val="24"/>
          <w:lang w:val="en-US" w:eastAsia="zh-CN"/>
        </w:rPr>
        <w:t>Stakeholder Contributions and Participation Incentives</w:t>
      </w:r>
    </w:p>
    <w:tbl>
      <w:tblPr>
        <w:tblStyle w:val="13"/>
        <w:tblW w:w="0" w:type="auto"/>
        <w:tblInd w:w="0" w:type="dxa"/>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shd w:val="clear" w:color="auto" w:fill="FFFFFF"/>
        <w:tblLayout w:type="autofit"/>
        <w:tblCellMar>
          <w:top w:w="15" w:type="dxa"/>
          <w:left w:w="15" w:type="dxa"/>
          <w:bottom w:w="15" w:type="dxa"/>
          <w:right w:w="15" w:type="dxa"/>
        </w:tblCellMar>
      </w:tblPr>
      <w:tblGrid>
        <w:gridCol w:w="2250"/>
        <w:gridCol w:w="3432"/>
        <w:gridCol w:w="3374"/>
      </w:tblGrid>
      <w:tr w14:paraId="0116F7CC">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shd w:val="clear" w:color="auto" w:fill="FFFFFF"/>
          <w:tblCellMar>
            <w:top w:w="15" w:type="dxa"/>
            <w:left w:w="15" w:type="dxa"/>
            <w:bottom w:w="15" w:type="dxa"/>
            <w:right w:w="15" w:type="dxa"/>
          </w:tblCellMar>
        </w:tblPrEx>
        <w:tc>
          <w:tcPr>
            <w:tcW w:w="0" w:type="auto"/>
            <w:tcBorders>
              <w:top w:val="single" w:color="000000" w:sz="12" w:space="0"/>
              <w:bottom w:val="single" w:color="000000" w:sz="4" w:space="0"/>
              <w:tl2br w:val="nil"/>
              <w:tr2bl w:val="nil"/>
            </w:tcBorders>
            <w:shd w:val="clear" w:color="auto" w:fill="FFFFFF"/>
            <w:noWrap/>
            <w:vAlign w:val="bottom"/>
          </w:tcPr>
          <w:p w14:paraId="46E629EA">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Stakeholder</w:t>
            </w:r>
          </w:p>
        </w:tc>
        <w:tc>
          <w:tcPr>
            <w:tcW w:w="0" w:type="auto"/>
            <w:tcBorders>
              <w:top w:val="single" w:color="000000" w:sz="12" w:space="0"/>
              <w:bottom w:val="single" w:color="000000" w:sz="4" w:space="0"/>
              <w:tl2br w:val="nil"/>
              <w:tr2bl w:val="nil"/>
            </w:tcBorders>
            <w:shd w:val="clear" w:color="auto" w:fill="FFFFFF"/>
            <w:noWrap/>
            <w:vAlign w:val="bottom"/>
          </w:tcPr>
          <w:p w14:paraId="36EBEB07">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Contribution to the ecosystem</w:t>
            </w:r>
          </w:p>
        </w:tc>
        <w:tc>
          <w:tcPr>
            <w:tcW w:w="0" w:type="auto"/>
            <w:tcBorders>
              <w:top w:val="single" w:color="000000" w:sz="12" w:space="0"/>
              <w:bottom w:val="single" w:color="000000" w:sz="4" w:space="0"/>
              <w:tl2br w:val="nil"/>
              <w:tr2bl w:val="nil"/>
            </w:tcBorders>
            <w:shd w:val="clear" w:color="auto" w:fill="FFFFFF"/>
            <w:noWrap/>
            <w:vAlign w:val="bottom"/>
          </w:tcPr>
          <w:p w14:paraId="0F336A54">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Incentive to participate</w:t>
            </w:r>
          </w:p>
        </w:tc>
      </w:tr>
      <w:tr w14:paraId="070F1E06">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tblCellMar>
            <w:top w:w="15" w:type="dxa"/>
            <w:left w:w="15" w:type="dxa"/>
            <w:bottom w:w="15" w:type="dxa"/>
            <w:right w:w="15" w:type="dxa"/>
          </w:tblCellMar>
        </w:tblPrEx>
        <w:tc>
          <w:tcPr>
            <w:tcW w:w="0" w:type="auto"/>
            <w:tcBorders>
              <w:top w:val="single" w:color="000000" w:sz="4" w:space="0"/>
              <w:bottom w:val="nil"/>
              <w:tl2br w:val="nil"/>
              <w:tr2bl w:val="nil"/>
            </w:tcBorders>
            <w:shd w:val="clear" w:color="auto" w:fill="FFFFFF"/>
            <w:vAlign w:val="top"/>
          </w:tcPr>
          <w:p w14:paraId="1F1745BE">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Representative inheritors and the Nanjing Yunjin Research Institute</w:t>
            </w:r>
          </w:p>
        </w:tc>
        <w:tc>
          <w:tcPr>
            <w:tcW w:w="0" w:type="auto"/>
            <w:tcBorders>
              <w:top w:val="single" w:color="000000" w:sz="4" w:space="0"/>
              <w:bottom w:val="nil"/>
              <w:tl2br w:val="nil"/>
              <w:tr2bl w:val="nil"/>
            </w:tcBorders>
            <w:shd w:val="clear" w:color="auto" w:fill="FFFFFF"/>
            <w:vAlign w:val="top"/>
          </w:tcPr>
          <w:p w14:paraId="5FA0F80B">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Authoritative technical knowledge; validation of all craft content</w:t>
            </w:r>
          </w:p>
        </w:tc>
        <w:tc>
          <w:tcPr>
            <w:tcW w:w="0" w:type="auto"/>
            <w:tcBorders>
              <w:top w:val="single" w:color="000000" w:sz="4" w:space="0"/>
              <w:bottom w:val="nil"/>
              <w:tl2br w:val="nil"/>
              <w:tr2bl w:val="nil"/>
            </w:tcBorders>
            <w:shd w:val="clear" w:color="auto" w:fill="FFFFFF"/>
            <w:vAlign w:val="top"/>
          </w:tcPr>
          <w:p w14:paraId="7DC54A26">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Recognition, documented authorship, income from derivative works, expanded pool of potential apprentices</w:t>
            </w:r>
          </w:p>
        </w:tc>
      </w:tr>
      <w:tr w14:paraId="5C7EBB97">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tblCellMar>
            <w:top w:w="15" w:type="dxa"/>
            <w:left w:w="15" w:type="dxa"/>
            <w:bottom w:w="15" w:type="dxa"/>
            <w:right w:w="15" w:type="dxa"/>
          </w:tblCellMar>
        </w:tblPrEx>
        <w:tc>
          <w:tcPr>
            <w:tcW w:w="0" w:type="auto"/>
            <w:tcBorders>
              <w:top w:val="nil"/>
              <w:bottom w:val="nil"/>
              <w:tl2br w:val="nil"/>
              <w:tr2bl w:val="nil"/>
            </w:tcBorders>
            <w:shd w:val="clear" w:color="auto" w:fill="FFFFFF"/>
            <w:vAlign w:val="top"/>
          </w:tcPr>
          <w:p w14:paraId="5C72352F">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Nanjing Yunjin Museum</w:t>
            </w:r>
          </w:p>
        </w:tc>
        <w:tc>
          <w:tcPr>
            <w:tcW w:w="0" w:type="auto"/>
            <w:tcBorders>
              <w:top w:val="nil"/>
              <w:bottom w:val="nil"/>
              <w:tl2br w:val="nil"/>
              <w:tr2bl w:val="nil"/>
            </w:tcBorders>
            <w:shd w:val="clear" w:color="auto" w:fill="FFFFFF"/>
            <w:vAlign w:val="top"/>
          </w:tcPr>
          <w:p w14:paraId="0E844946">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Physical venue, collections, curatorial expertise, visitor access</w:t>
            </w:r>
          </w:p>
        </w:tc>
        <w:tc>
          <w:tcPr>
            <w:tcW w:w="0" w:type="auto"/>
            <w:tcBorders>
              <w:top w:val="nil"/>
              <w:bottom w:val="nil"/>
              <w:tl2br w:val="nil"/>
              <w:tr2bl w:val="nil"/>
            </w:tcBorders>
            <w:shd w:val="clear" w:color="auto" w:fill="FFFFFF"/>
            <w:vAlign w:val="top"/>
          </w:tcPr>
          <w:p w14:paraId="52DC4F88">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Increased visitor engagement and dwell time; differentiated programming</w:t>
            </w:r>
          </w:p>
        </w:tc>
      </w:tr>
      <w:tr w14:paraId="59577807">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tblCellMar>
            <w:top w:w="15" w:type="dxa"/>
            <w:left w:w="15" w:type="dxa"/>
            <w:bottom w:w="15" w:type="dxa"/>
            <w:right w:w="15" w:type="dxa"/>
          </w:tblCellMar>
        </w:tblPrEx>
        <w:tc>
          <w:tcPr>
            <w:tcW w:w="0" w:type="auto"/>
            <w:tcBorders>
              <w:top w:val="nil"/>
              <w:bottom w:val="nil"/>
              <w:tl2br w:val="nil"/>
              <w:tr2bl w:val="nil"/>
            </w:tcBorders>
            <w:shd w:val="clear" w:color="auto" w:fill="FFFFFF"/>
            <w:vAlign w:val="top"/>
          </w:tcPr>
          <w:p w14:paraId="0FB0DB91">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Universities and schools</w:t>
            </w:r>
          </w:p>
        </w:tc>
        <w:tc>
          <w:tcPr>
            <w:tcW w:w="0" w:type="auto"/>
            <w:tcBorders>
              <w:top w:val="nil"/>
              <w:bottom w:val="nil"/>
              <w:tl2br w:val="nil"/>
              <w:tr2bl w:val="nil"/>
            </w:tcBorders>
            <w:shd w:val="clear" w:color="auto" w:fill="FFFFFF"/>
            <w:vAlign w:val="top"/>
          </w:tcPr>
          <w:p w14:paraId="70F1908F">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Learner base, pedagogical design, technical development capacity</w:t>
            </w:r>
          </w:p>
        </w:tc>
        <w:tc>
          <w:tcPr>
            <w:tcW w:w="0" w:type="auto"/>
            <w:tcBorders>
              <w:top w:val="nil"/>
              <w:bottom w:val="nil"/>
              <w:tl2br w:val="nil"/>
              <w:tr2bl w:val="nil"/>
            </w:tcBorders>
            <w:shd w:val="clear" w:color="auto" w:fill="FFFFFF"/>
            <w:vAlign w:val="top"/>
          </w:tcPr>
          <w:p w14:paraId="021B688A">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Curriculum resources; research output; student project pipeline</w:t>
            </w:r>
          </w:p>
        </w:tc>
      </w:tr>
      <w:tr w14:paraId="790B0281">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shd w:val="clear" w:color="auto" w:fill="FFFFFF"/>
          <w:tblCellMar>
            <w:top w:w="15" w:type="dxa"/>
            <w:left w:w="15" w:type="dxa"/>
            <w:bottom w:w="15" w:type="dxa"/>
            <w:right w:w="15" w:type="dxa"/>
          </w:tblCellMar>
        </w:tblPrEx>
        <w:tc>
          <w:tcPr>
            <w:tcW w:w="0" w:type="auto"/>
            <w:tcBorders>
              <w:top w:val="nil"/>
              <w:bottom w:val="nil"/>
              <w:tl2br w:val="nil"/>
              <w:tr2bl w:val="nil"/>
            </w:tcBorders>
            <w:shd w:val="clear" w:color="auto" w:fill="FFFFFF"/>
            <w:vAlign w:val="top"/>
          </w:tcPr>
          <w:p w14:paraId="43AA6B3F">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Designers and cultural-creative enterprises</w:t>
            </w:r>
          </w:p>
        </w:tc>
        <w:tc>
          <w:tcPr>
            <w:tcW w:w="0" w:type="auto"/>
            <w:tcBorders>
              <w:top w:val="nil"/>
              <w:bottom w:val="nil"/>
              <w:tl2br w:val="nil"/>
              <w:tr2bl w:val="nil"/>
            </w:tcBorders>
            <w:shd w:val="clear" w:color="auto" w:fill="FFFFFF"/>
            <w:vAlign w:val="top"/>
          </w:tcPr>
          <w:p w14:paraId="7FF08A87">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Contemporary application of motifs; commercial channels</w:t>
            </w:r>
          </w:p>
        </w:tc>
        <w:tc>
          <w:tcPr>
            <w:tcW w:w="0" w:type="auto"/>
            <w:tcBorders>
              <w:top w:val="nil"/>
              <w:bottom w:val="nil"/>
              <w:tl2br w:val="nil"/>
              <w:tr2bl w:val="nil"/>
            </w:tcBorders>
            <w:shd w:val="clear" w:color="auto" w:fill="FFFFFF"/>
            <w:vAlign w:val="top"/>
          </w:tcPr>
          <w:p w14:paraId="0A0A69A5">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Access to a licensed, culturally validated motif library</w:t>
            </w:r>
          </w:p>
        </w:tc>
      </w:tr>
      <w:tr w14:paraId="5075E568">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tblCellMar>
            <w:top w:w="15" w:type="dxa"/>
            <w:left w:w="15" w:type="dxa"/>
            <w:bottom w:w="15" w:type="dxa"/>
            <w:right w:w="15" w:type="dxa"/>
          </w:tblCellMar>
        </w:tblPrEx>
        <w:tc>
          <w:tcPr>
            <w:tcW w:w="0" w:type="auto"/>
            <w:tcBorders>
              <w:top w:val="nil"/>
              <w:bottom w:val="nil"/>
              <w:tl2br w:val="nil"/>
              <w:tr2bl w:val="nil"/>
            </w:tcBorders>
            <w:shd w:val="clear" w:color="auto" w:fill="FFFFFF"/>
            <w:vAlign w:val="top"/>
          </w:tcPr>
          <w:p w14:paraId="3D4D08EB">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Interested public and online communities</w:t>
            </w:r>
          </w:p>
        </w:tc>
        <w:tc>
          <w:tcPr>
            <w:tcW w:w="0" w:type="auto"/>
            <w:tcBorders>
              <w:top w:val="nil"/>
              <w:bottom w:val="nil"/>
              <w:tl2br w:val="nil"/>
              <w:tr2bl w:val="nil"/>
            </w:tcBorders>
            <w:shd w:val="clear" w:color="auto" w:fill="FFFFFF"/>
            <w:vAlign w:val="top"/>
          </w:tcPr>
          <w:p w14:paraId="78D36EFC">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Annotation labour, oral-history contribution, user-generated designs, dissemination</w:t>
            </w:r>
          </w:p>
        </w:tc>
        <w:tc>
          <w:tcPr>
            <w:tcW w:w="0" w:type="auto"/>
            <w:tcBorders>
              <w:top w:val="nil"/>
              <w:bottom w:val="nil"/>
              <w:tl2br w:val="nil"/>
              <w:tr2bl w:val="nil"/>
            </w:tcBorders>
            <w:shd w:val="clear" w:color="auto" w:fill="FFFFFF"/>
            <w:vAlign w:val="top"/>
          </w:tcPr>
          <w:p w14:paraId="3C8FE0B8">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Creative expression, social recognition, affiliation</w:t>
            </w:r>
          </w:p>
        </w:tc>
      </w:tr>
      <w:tr w14:paraId="5767EA6F">
        <w:tblPrEx>
          <w:tblBorders>
            <w:top w:val="single" w:color="000000" w:themeColor="text1" w:sz="2" w:space="0"/>
            <w:left w:val="none" w:color="auto" w:sz="0" w:space="0"/>
            <w:bottom w:val="single" w:color="000000" w:themeColor="text1" w:sz="2" w:space="0"/>
            <w:right w:val="none" w:color="auto" w:sz="0" w:space="0"/>
            <w:insideH w:val="single" w:color="000000" w:themeColor="text1" w:sz="2" w:space="0"/>
            <w:insideV w:val="none" w:color="auto" w:sz="0" w:space="0"/>
          </w:tblBorders>
          <w:tblCellMar>
            <w:top w:w="15" w:type="dxa"/>
            <w:left w:w="15" w:type="dxa"/>
            <w:bottom w:w="15" w:type="dxa"/>
            <w:right w:w="15" w:type="dxa"/>
          </w:tblCellMar>
        </w:tblPrEx>
        <w:tc>
          <w:tcPr>
            <w:tcW w:w="0" w:type="auto"/>
            <w:tcBorders>
              <w:top w:val="nil"/>
              <w:bottom w:val="single" w:color="000000" w:sz="12" w:space="0"/>
              <w:tl2br w:val="nil"/>
              <w:tr2bl w:val="nil"/>
            </w:tcBorders>
            <w:shd w:val="clear" w:color="auto" w:fill="FFFFFF"/>
            <w:vAlign w:val="top"/>
          </w:tcPr>
          <w:p w14:paraId="45091A77">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Municipal cultural authorities</w:t>
            </w:r>
          </w:p>
        </w:tc>
        <w:tc>
          <w:tcPr>
            <w:tcW w:w="0" w:type="auto"/>
            <w:tcBorders>
              <w:top w:val="nil"/>
              <w:bottom w:val="single" w:color="000000" w:sz="12" w:space="0"/>
              <w:tl2br w:val="nil"/>
              <w:tr2bl w:val="nil"/>
            </w:tcBorders>
            <w:shd w:val="clear" w:color="auto" w:fill="FFFFFF"/>
            <w:vAlign w:val="top"/>
          </w:tcPr>
          <w:p w14:paraId="0F77DA32">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Policy support, funding, coordination</w:t>
            </w:r>
          </w:p>
        </w:tc>
        <w:tc>
          <w:tcPr>
            <w:tcW w:w="0" w:type="auto"/>
            <w:tcBorders>
              <w:top w:val="nil"/>
              <w:bottom w:val="single" w:color="000000" w:sz="12" w:space="0"/>
              <w:tl2br w:val="nil"/>
              <w:tr2bl w:val="nil"/>
            </w:tcBorders>
            <w:shd w:val="clear" w:color="auto" w:fill="FFFFFF"/>
            <w:vAlign w:val="top"/>
          </w:tcPr>
          <w:p w14:paraId="4D27DCE2">
            <w:pPr>
              <w:numPr>
                <w:ilvl w:val="0"/>
                <w:numId w:val="0"/>
              </w:numPr>
              <w:bidi w:val="0"/>
              <w:jc w:val="center"/>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Delivery of cultural policy objectives; city cultural branding</w:t>
            </w:r>
          </w:p>
        </w:tc>
      </w:tr>
    </w:tbl>
    <w:p w14:paraId="4F669B7F">
      <w:pPr>
        <w:bidi w:val="0"/>
        <w:ind w:firstLine="420" w:firstLineChars="0"/>
        <w:rPr>
          <w:rFonts w:hint="default"/>
          <w:b w:val="0"/>
          <w:bCs w:val="0"/>
          <w:sz w:val="24"/>
          <w:szCs w:val="24"/>
          <w:lang w:val="en-US" w:eastAsia="zh-CN"/>
        </w:rPr>
      </w:pPr>
      <w:r>
        <w:rPr>
          <w:rFonts w:hint="default"/>
          <w:b w:val="0"/>
          <w:bCs w:val="0"/>
          <w:lang w:val="en-US" w:eastAsia="zh-CN"/>
        </w:rPr>
        <w:t>The reinforcing loop requires external energy to start. Community participation is not introduced at the outset: during an initial seeding phase the institution builds the base corpus itself, comprising the digitisation and annotation of an initial motif set, recorded interviews on procedure with representative inheritors, and a structural survey of one loom. Only once this base is in place, and the platform therefore has content worth contributing to, is the community layer opened.</w:t>
      </w:r>
    </w:p>
    <w:p w14:paraId="3F0A86B2">
      <w:pPr>
        <w:bidi w:val="0"/>
        <w:ind w:firstLine="420" w:firstLineChars="0"/>
        <w:rPr>
          <w:rFonts w:hint="default"/>
          <w:b/>
          <w:bCs/>
          <w:lang w:val="en-US" w:eastAsia="zh-CN"/>
        </w:rPr>
      </w:pPr>
      <w:r>
        <w:rPr>
          <w:rFonts w:hint="default"/>
          <w:b/>
          <w:bCs/>
          <w:lang w:val="en-US" w:eastAsia="zh-CN"/>
        </w:rPr>
        <w:t>(2) A ladder of participation</w:t>
      </w:r>
    </w:p>
    <w:p w14:paraId="095CE5BA">
      <w:pPr>
        <w:bidi w:val="0"/>
        <w:ind w:firstLine="420" w:firstLineChars="0"/>
        <w:rPr>
          <w:rFonts w:hint="default"/>
          <w:b w:val="0"/>
          <w:bCs w:val="0"/>
          <w:lang w:val="en-US" w:eastAsia="zh-CN"/>
        </w:rPr>
      </w:pPr>
      <w:r>
        <w:rPr>
          <w:rFonts w:hint="default"/>
          <w:b w:val="0"/>
          <w:bCs w:val="0"/>
          <w:lang w:val="en-US" w:eastAsia="zh-CN"/>
        </w:rPr>
        <w:t>Participation is structured as four ascending levels of involvement, so that contribution is possible at very low cost of entry while deeper roles remain available to committed participants.</w:t>
      </w:r>
    </w:p>
    <w:p w14:paraId="3F691AC6">
      <w:pPr>
        <w:bidi w:val="0"/>
        <w:ind w:firstLine="420" w:firstLineChars="0"/>
        <w:rPr>
          <w:rFonts w:hint="default"/>
          <w:b w:val="0"/>
          <w:bCs w:val="0"/>
          <w:lang w:val="en-US" w:eastAsia="zh-CN"/>
        </w:rPr>
      </w:pPr>
      <w:r>
        <w:rPr>
          <w:rFonts w:hint="default"/>
          <w:b/>
          <w:bCs/>
          <w:lang w:val="en-US" w:eastAsia="zh-CN"/>
        </w:rPr>
        <w:t>Contributing.</w:t>
      </w:r>
      <w:r>
        <w:rPr>
          <w:rFonts w:hint="default"/>
          <w:b w:val="0"/>
          <w:bCs w:val="0"/>
          <w:lang w:val="en-US" w:eastAsia="zh-CN"/>
        </w:rPr>
        <w:t xml:space="preserve"> Members of the public assist in annotating the digital pattern database — identifying motif types, colourways and structural features in digitised textiles — and in transcribing and tagging archival documents. This resolves the labelling bottleneck that constrains the AI component described in Section 2.4.2, since supervised pattern recognition requires annotated training data that no single institution can produce at scale.</w:t>
      </w:r>
    </w:p>
    <w:p w14:paraId="02F405AF">
      <w:pPr>
        <w:bidi w:val="0"/>
        <w:ind w:firstLine="420" w:firstLineChars="0"/>
        <w:rPr>
          <w:rFonts w:hint="default"/>
          <w:b w:val="0"/>
          <w:bCs w:val="0"/>
          <w:lang w:val="en-US" w:eastAsia="zh-CN"/>
        </w:rPr>
      </w:pPr>
      <w:r>
        <w:rPr>
          <w:rFonts w:hint="default"/>
          <w:b/>
          <w:bCs/>
          <w:lang w:val="en-US" w:eastAsia="zh-CN"/>
        </w:rPr>
        <w:t>Collaborating.</w:t>
      </w:r>
      <w:r>
        <w:rPr>
          <w:rFonts w:hint="default"/>
          <w:b w:val="0"/>
          <w:bCs w:val="0"/>
          <w:lang w:val="en-US" w:eastAsia="zh-CN"/>
        </w:rPr>
        <w:t xml:space="preserve"> Structured oral-history collection, conducted by trained student volunteers with elderly artisans and retired workers of the Institute, captures procedural and biographical knowledge that exists in no written source</w:t>
      </w:r>
      <w:r>
        <w:rPr>
          <w:rFonts w:hint="default"/>
          <w:b w:val="0"/>
          <w:bCs w:val="0"/>
          <w:lang w:val="en-US" w:eastAsia="zh-CN"/>
        </w:rPr>
        <w:fldChar w:fldCharType="begin"/>
      </w:r>
      <w:r>
        <w:rPr>
          <w:rFonts w:hint="default"/>
          <w:b w:val="0"/>
          <w:bCs w:val="0"/>
          <w:lang w:val="en-US" w:eastAsia="zh-CN"/>
        </w:rPr>
        <w:instrText xml:space="preserve"> REF _Ref3748 \r \h </w:instrText>
      </w:r>
      <w:r>
        <w:rPr>
          <w:rFonts w:hint="default"/>
          <w:b w:val="0"/>
          <w:bCs w:val="0"/>
          <w:lang w:val="en-US" w:eastAsia="zh-CN"/>
        </w:rPr>
        <w:fldChar w:fldCharType="separate"/>
      </w:r>
      <w:r>
        <w:rPr>
          <w:rFonts w:hint="default"/>
          <w:b w:val="0"/>
          <w:bCs w:val="0"/>
          <w:lang w:val="en-US" w:eastAsia="zh-CN"/>
        </w:rPr>
        <w:t>[25]</w:t>
      </w:r>
      <w:r>
        <w:rPr>
          <w:rFonts w:hint="default"/>
          <w:b w:val="0"/>
          <w:bCs w:val="0"/>
          <w:lang w:val="en-US" w:eastAsia="zh-CN"/>
        </w:rPr>
        <w:fldChar w:fldCharType="end"/>
      </w:r>
      <w:r>
        <w:rPr>
          <w:rFonts w:hint="default"/>
          <w:b w:val="0"/>
          <w:bCs w:val="0"/>
          <w:lang w:val="en-US" w:eastAsia="zh-CN"/>
        </w:rPr>
        <w:t>. Recordings are transcribed, segmented and linked into the knowledge graph, so that a step in the procedural model can be connected directly to a practitioner's account of it.</w:t>
      </w:r>
    </w:p>
    <w:p w14:paraId="42A0C6D8">
      <w:pPr>
        <w:bidi w:val="0"/>
        <w:ind w:firstLine="420" w:firstLineChars="0"/>
        <w:rPr>
          <w:rFonts w:hint="default"/>
          <w:b w:val="0"/>
          <w:bCs w:val="0"/>
          <w:lang w:val="en-US" w:eastAsia="zh-CN"/>
        </w:rPr>
      </w:pPr>
      <w:r>
        <w:rPr>
          <w:rFonts w:hint="default"/>
          <w:b/>
          <w:bCs/>
          <w:lang w:val="en-US" w:eastAsia="zh-CN"/>
        </w:rPr>
        <w:t>Co-creating.</w:t>
      </w:r>
      <w:r>
        <w:rPr>
          <w:rFonts w:hint="default"/>
          <w:b w:val="0"/>
          <w:bCs w:val="0"/>
          <w:lang w:val="en-US" w:eastAsia="zh-CN"/>
        </w:rPr>
        <w:t xml:space="preserve"> Periodic co-design workshops bring inheritors, designers and students together to develop contemporary applications of Yunjin motifs, with the AI creative-assistance tools of Section 2.4.2 used within the workshop rather than in place of it. Outputs re-enter the platform as documented cases.</w:t>
      </w:r>
    </w:p>
    <w:p w14:paraId="5BC86E04">
      <w:pPr>
        <w:bidi w:val="0"/>
        <w:ind w:firstLine="420" w:firstLineChars="0"/>
        <w:rPr>
          <w:rFonts w:hint="default"/>
          <w:b w:val="0"/>
          <w:bCs w:val="0"/>
          <w:lang w:val="en-US" w:eastAsia="zh-CN"/>
        </w:rPr>
      </w:pPr>
      <w:r>
        <w:rPr>
          <w:rFonts w:hint="default"/>
          <w:b/>
          <w:bCs/>
          <w:lang w:val="en-US" w:eastAsia="zh-CN"/>
        </w:rPr>
        <w:t xml:space="preserve">Hosting. </w:t>
      </w:r>
      <w:r>
        <w:rPr>
          <w:rFonts w:hint="default"/>
          <w:b w:val="0"/>
          <w:bCs w:val="0"/>
          <w:lang w:val="en-US" w:eastAsia="zh-CN"/>
        </w:rPr>
        <w:t>Advanced community members moderate the user-generated design gallery, curate thematic collections, and run local interest groups, taking on responsibilities that the institution would otherwise have to staff.</w:t>
      </w:r>
    </w:p>
    <w:p w14:paraId="6AD2303D">
      <w:pPr>
        <w:bidi w:val="0"/>
        <w:ind w:firstLine="420" w:firstLineChars="0"/>
        <w:rPr>
          <w:rFonts w:hint="default"/>
          <w:b/>
          <w:bCs/>
          <w:lang w:val="en-US" w:eastAsia="zh-CN"/>
        </w:rPr>
      </w:pPr>
      <w:r>
        <w:rPr>
          <w:rFonts w:hint="default"/>
          <w:b/>
          <w:bCs/>
          <w:lang w:val="en-US" w:eastAsia="zh-CN"/>
        </w:rPr>
        <w:t>(3) Governance and cultural validation</w:t>
      </w:r>
    </w:p>
    <w:p w14:paraId="2D613BB8">
      <w:pPr>
        <w:bidi w:val="0"/>
        <w:ind w:firstLine="420" w:firstLineChars="0"/>
        <w:rPr>
          <w:rFonts w:hint="default"/>
          <w:b w:val="0"/>
          <w:bCs w:val="0"/>
          <w:lang w:val="en-US" w:eastAsia="zh-CN"/>
        </w:rPr>
      </w:pPr>
      <w:r>
        <w:rPr>
          <w:rFonts w:hint="default"/>
          <w:b w:val="0"/>
          <w:bCs w:val="0"/>
          <w:lang w:val="en-US" w:eastAsia="zh-CN"/>
        </w:rPr>
        <w:t>Open participation carries an evident risk to cultural accuracy, and the ecosystem addresses it through an explicit three-stage validation chain rather than through unmoderated openness. Community-contributed annotations and content enter the platform as proposed; they are screened by curatorial staff for completeness and consistency; and any assertion concerning technique, terminology or symbolic meaning requires sign-off from an Inheritor Review Board before it is promoted to validated status and made available to the AI training corpus or the learning modules. All records carry provenance metadata identifying contributor, reviewer and version history. Authority over what constitutes correct practice therefore remains with the practitioners, while the volume of work is distributed across the community</w:t>
      </w:r>
      <w:r>
        <w:rPr>
          <w:rFonts w:hint="default"/>
          <w:b w:val="0"/>
          <w:bCs w:val="0"/>
          <w:lang w:val="en-US" w:eastAsia="zh-CN"/>
        </w:rPr>
        <w:fldChar w:fldCharType="begin"/>
      </w:r>
      <w:r>
        <w:rPr>
          <w:rFonts w:hint="default"/>
          <w:b w:val="0"/>
          <w:bCs w:val="0"/>
          <w:lang w:val="en-US" w:eastAsia="zh-CN"/>
        </w:rPr>
        <w:instrText xml:space="preserve"> REF _Ref26761 \r \h </w:instrText>
      </w:r>
      <w:r>
        <w:rPr>
          <w:rFonts w:hint="default"/>
          <w:b w:val="0"/>
          <w:bCs w:val="0"/>
          <w:lang w:val="en-US" w:eastAsia="zh-CN"/>
        </w:rPr>
        <w:fldChar w:fldCharType="separate"/>
      </w:r>
      <w:r>
        <w:rPr>
          <w:rFonts w:hint="default"/>
          <w:b w:val="0"/>
          <w:bCs w:val="0"/>
          <w:lang w:val="en-US" w:eastAsia="zh-CN"/>
        </w:rPr>
        <w:t>[2</w:t>
      </w:r>
      <w:r>
        <w:rPr>
          <w:rFonts w:hint="eastAsia"/>
          <w:b w:val="0"/>
          <w:bCs w:val="0"/>
          <w:lang w:val="en-US" w:eastAsia="zh-CN"/>
        </w:rPr>
        <w:t>4</w:t>
      </w:r>
      <w:r>
        <w:rPr>
          <w:rFonts w:hint="default"/>
          <w:b w:val="0"/>
          <w:bCs w:val="0"/>
          <w:lang w:val="en-US" w:eastAsia="zh-CN"/>
        </w:rPr>
        <w:t>]</w:t>
      </w:r>
      <w:r>
        <w:rPr>
          <w:rFonts w:hint="default"/>
          <w:b w:val="0"/>
          <w:bCs w:val="0"/>
          <w:lang w:val="en-US" w:eastAsia="zh-CN"/>
        </w:rPr>
        <w:fldChar w:fldCharType="end"/>
      </w:r>
      <w:r>
        <w:rPr>
          <w:rFonts w:hint="default"/>
          <w:b w:val="0"/>
          <w:bCs w:val="0"/>
          <w:lang w:val="en-US" w:eastAsia="zh-CN"/>
        </w:rPr>
        <w:t>.</w:t>
      </w:r>
    </w:p>
    <w:p w14:paraId="4013AA03">
      <w:pPr>
        <w:bidi w:val="0"/>
        <w:ind w:firstLine="420" w:firstLineChars="0"/>
        <w:rPr>
          <w:rFonts w:hint="default"/>
          <w:b/>
          <w:bCs/>
          <w:lang w:val="en-US" w:eastAsia="zh-CN"/>
        </w:rPr>
      </w:pPr>
      <w:r>
        <w:rPr>
          <w:rFonts w:hint="default"/>
          <w:b/>
          <w:bCs/>
          <w:lang w:val="en-US" w:eastAsia="zh-CN"/>
        </w:rPr>
        <w:t>(4) Benefit sharing</w:t>
      </w:r>
    </w:p>
    <w:p w14:paraId="73A3CFF7">
      <w:pPr>
        <w:bidi w:val="0"/>
        <w:ind w:firstLine="420" w:firstLineChars="0"/>
        <w:rPr>
          <w:rFonts w:hint="default"/>
          <w:b w:val="0"/>
          <w:bCs w:val="0"/>
          <w:lang w:val="en-US" w:eastAsia="zh-CN"/>
        </w:rPr>
      </w:pPr>
      <w:r>
        <w:rPr>
          <w:rFonts w:hint="default"/>
          <w:b w:val="0"/>
          <w:bCs w:val="0"/>
          <w:lang w:val="en-US" w:eastAsia="zh-CN"/>
        </w:rPr>
        <w:t>Crowdsourcing initiatives in the heritage sector frequently extract labour and knowledge from communities without returning value to them, and such arrangements are not sustainable. Four commitments are specified. Contributors are named in the record they contribute to. Inheritors hold a documented interest in commercial products derived from motifs or techniques they have validated, with revenue shared on terms agreed in advance. Community contribution is recognised through micro-credentials that carry weight in school and university assessment, giving student participants a tangible return. And the platform commits to open access for non-commercial educational use, so that the community's contributions remain available to the community.</w:t>
      </w:r>
    </w:p>
    <w:p w14:paraId="04BCA5FE">
      <w:pPr>
        <w:bidi w:val="0"/>
        <w:ind w:firstLine="420" w:firstLineChars="0"/>
        <w:rPr>
          <w:rFonts w:hint="default"/>
          <w:b/>
          <w:bCs/>
          <w:lang w:val="en-US" w:eastAsia="zh-CN"/>
        </w:rPr>
      </w:pPr>
      <w:r>
        <w:rPr>
          <w:rFonts w:hint="default"/>
          <w:b/>
          <w:bCs/>
          <w:lang w:val="en-US" w:eastAsia="zh-CN"/>
        </w:rPr>
        <w:t>(5) The reinforcing loop</w:t>
      </w:r>
    </w:p>
    <w:p w14:paraId="36B4A1A7">
      <w:pPr>
        <w:bidi w:val="0"/>
        <w:ind w:firstLine="420" w:firstLineChars="0"/>
        <w:rPr>
          <w:rFonts w:hint="default"/>
          <w:b w:val="0"/>
          <w:bCs w:val="0"/>
          <w:lang w:val="en-US" w:eastAsia="zh-CN"/>
        </w:rPr>
      </w:pPr>
      <w:r>
        <w:rPr>
          <w:rFonts w:hint="default"/>
          <w:b w:val="0"/>
          <w:bCs w:val="0"/>
          <w:lang w:val="en-US" w:eastAsia="zh-CN"/>
        </w:rPr>
        <w:t>The four components are mutually reinforcing rather than merely co-present, and it is this circularity that distinguishes an ecosystem from a toolkit. Community annotation supplies the training data that improves AI recognition; improved recognition enriches the knowledge graph that the Digital Twin draws on for semantic context; a richer twin supports more accurate immersive learning content; better learning experiences enlarge and deepen the community; and the enlarged community annotates more. Institutional funding is required to initiate this loop, but once established the loop generates a substantial share of its own content, which is the condition under which transmission can outlast any individual project.</w:t>
      </w:r>
    </w:p>
    <w:p w14:paraId="20FF7581">
      <w:pPr>
        <w:pStyle w:val="4"/>
        <w:bidi w:val="0"/>
        <w:rPr>
          <w:rFonts w:hint="default"/>
          <w:lang w:val="en-US" w:eastAsia="zh-CN"/>
        </w:rPr>
      </w:pPr>
      <w:bookmarkStart w:id="29" w:name="_Toc2358"/>
      <w:r>
        <w:rPr>
          <w:rFonts w:hint="default"/>
          <w:lang w:val="en-US" w:eastAsia="zh-CN"/>
        </w:rPr>
        <w:t>2.4.6 Interaction Among the Four Components</w:t>
      </w:r>
      <w:bookmarkEnd w:id="29"/>
      <w:r>
        <w:rPr>
          <w:rFonts w:hint="default"/>
          <w:lang w:val="en-US" w:eastAsia="zh-CN"/>
        </w:rPr>
        <w:t xml:space="preserve"> </w:t>
      </w:r>
    </w:p>
    <w:p w14:paraId="2A078E1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val="0"/>
          <w:bCs w:val="0"/>
          <w:lang w:val="en-US" w:eastAsia="zh-CN"/>
        </w:rPr>
      </w:pPr>
      <w:r>
        <w:rPr>
          <w:rFonts w:hint="default"/>
          <w:b w:val="0"/>
          <w:bCs w:val="0"/>
          <w:lang w:val="en-US" w:eastAsia="zh-CN"/>
        </w:rPr>
        <w:t>The preceding four sections describe components; this section specifies the interfaces between them, since the central claim of this study is one of integration rather than of any single technology.</w:t>
      </w:r>
      <w:r>
        <w:rPr>
          <w:rFonts w:hint="eastAsia"/>
          <w:b w:val="0"/>
          <w:bCs w:val="0"/>
          <w:lang w:val="en-US" w:eastAsia="zh-CN"/>
        </w:rPr>
        <w:t xml:space="preserve"> These five interfaces correspond to the arrows shown in Figure 1.</w:t>
      </w:r>
    </w:p>
    <w:p w14:paraId="551DE1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lang w:val="en-US" w:eastAsia="zh-CN"/>
        </w:rPr>
      </w:pPr>
      <w:r>
        <w:rPr>
          <w:rFonts w:hint="default"/>
          <w:b w:val="0"/>
          <w:bCs w:val="0"/>
          <w:lang w:val="en-US" w:eastAsia="zh-CN"/>
        </w:rPr>
        <w:t>The value of integration can be traced through a single concrete chain. Community annotation of several thousand motifs raises the accuracy of AI pattern recognition to a level at which the sandbox can automatically assess whether a learner-generated design is weavable; only then can learners produce designs that are technically viable rather than merely decorative; viable designs can enter cultural-product development, from which inheritors receive a share of revenue; and inheritors who receive such returns are more willing to contribute the motion data on which the Digital Twin depends. Remove any single link and the chain degenerates into four isolated tools.</w:t>
      </w:r>
    </w:p>
    <w:p w14:paraId="05D62A9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lang w:val="en-US" w:eastAsia="zh-CN"/>
        </w:rPr>
      </w:pPr>
      <w:r>
        <w:rPr>
          <w:rFonts w:hint="default"/>
          <w:b w:val="0"/>
          <w:bCs w:val="0"/>
          <w:lang w:val="en-US" w:eastAsia="zh-CN"/>
        </w:rPr>
        <w:t>AI → Digital Twin. The knowledge graph supplies the semantic layer of the twin: a component of the loom or a step in the procedure is not merely geometry and kinematics but is linked to its terminology, its historical variants and the practitioners associated with it</w:t>
      </w:r>
      <w:r>
        <w:rPr>
          <w:rFonts w:hint="default"/>
          <w:b w:val="0"/>
          <w:bCs w:val="0"/>
          <w:lang w:val="en-US" w:eastAsia="zh-CN"/>
        </w:rPr>
        <w:fldChar w:fldCharType="begin"/>
      </w:r>
      <w:r>
        <w:rPr>
          <w:rFonts w:hint="default"/>
          <w:b w:val="0"/>
          <w:bCs w:val="0"/>
          <w:lang w:val="en-US" w:eastAsia="zh-CN"/>
        </w:rPr>
        <w:instrText xml:space="preserve"> REF _Ref28179 \r \h </w:instrText>
      </w:r>
      <w:r>
        <w:rPr>
          <w:rFonts w:hint="default"/>
          <w:b w:val="0"/>
          <w:bCs w:val="0"/>
          <w:lang w:val="en-US" w:eastAsia="zh-CN"/>
        </w:rPr>
        <w:fldChar w:fldCharType="separate"/>
      </w:r>
      <w:r>
        <w:rPr>
          <w:rFonts w:hint="default"/>
          <w:b w:val="0"/>
          <w:bCs w:val="0"/>
          <w:lang w:val="en-US" w:eastAsia="zh-CN"/>
        </w:rPr>
        <w:t>[</w:t>
      </w:r>
      <w:r>
        <w:rPr>
          <w:rFonts w:hint="eastAsia"/>
          <w:b w:val="0"/>
          <w:bCs w:val="0"/>
          <w:lang w:val="en-US" w:eastAsia="zh-CN"/>
        </w:rPr>
        <w:t>15,16</w:t>
      </w:r>
      <w:r>
        <w:rPr>
          <w:rFonts w:hint="default"/>
          <w:b w:val="0"/>
          <w:bCs w:val="0"/>
          <w:lang w:val="en-US" w:eastAsia="zh-CN"/>
        </w:rPr>
        <w:t>]</w:t>
      </w:r>
      <w:r>
        <w:rPr>
          <w:rFonts w:hint="default"/>
          <w:b w:val="0"/>
          <w:bCs w:val="0"/>
          <w:lang w:val="en-US" w:eastAsia="zh-CN"/>
        </w:rPr>
        <w:fldChar w:fldCharType="end"/>
      </w:r>
      <w:r>
        <w:rPr>
          <w:rFonts w:hint="default"/>
          <w:b w:val="0"/>
          <w:bCs w:val="0"/>
          <w:lang w:val="en-US" w:eastAsia="zh-CN"/>
        </w:rPr>
        <w:t>.</w:t>
      </w:r>
    </w:p>
    <w:p w14:paraId="0FFEFF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lang w:val="en-US" w:eastAsia="zh-CN"/>
        </w:rPr>
      </w:pPr>
      <w:r>
        <w:rPr>
          <w:rFonts w:hint="default"/>
          <w:b w:val="0"/>
          <w:bCs w:val="0"/>
          <w:lang w:val="en-US" w:eastAsia="zh-CN"/>
        </w:rPr>
        <w:t>Digital Twin → Immersive Learning. The three layers of the twin map directly onto the three tiers of the learning pathway, so that learning content is generated from the same parametric model rather than authored separately. A correction to the twin propagates automatically to every learning module built on it.</w:t>
      </w:r>
    </w:p>
    <w:p w14:paraId="0981BE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lang w:val="en-US" w:eastAsia="zh-CN"/>
        </w:rPr>
      </w:pPr>
      <w:r>
        <w:rPr>
          <w:rFonts w:hint="default"/>
          <w:b w:val="0"/>
          <w:bCs w:val="0"/>
          <w:lang w:val="en-US" w:eastAsia="zh-CN"/>
        </w:rPr>
        <w:t>Immersive Learning → Community. The creative tier of the learning pathway is the recruitment channel for the community layer: learners who complete a design become contributors to the gallery, and the most engaged progress to moderation, workshops or physical apprenticeship.</w:t>
      </w:r>
    </w:p>
    <w:p w14:paraId="44375A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lang w:val="en-US" w:eastAsia="zh-CN"/>
        </w:rPr>
      </w:pPr>
      <w:r>
        <w:rPr>
          <w:rFonts w:hint="default"/>
          <w:b w:val="0"/>
          <w:bCs w:val="0"/>
          <w:lang w:val="en-US" w:eastAsia="zh-CN"/>
        </w:rPr>
        <w:t>Community → AI. Validated community annotation is the principal source of labelled training data, closing the loop.</w:t>
      </w:r>
    </w:p>
    <w:p w14:paraId="704289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lang w:val="en-US" w:eastAsia="zh-CN"/>
        </w:rPr>
      </w:pPr>
      <w:r>
        <w:rPr>
          <w:rFonts w:hint="default"/>
          <w:b w:val="0"/>
          <w:bCs w:val="0"/>
          <w:lang w:val="en-US" w:eastAsia="zh-CN"/>
        </w:rPr>
        <w:t>Cross-cutting: the inheritor. The representative inheritor is not a subject of documentation at one end of the pipeline but an actor at three points within it — as the source of the motion and procedural data underlying the twin, as the final authority in the validation chain, and as the recipient of benefit from derivative works. This is the structural difference between the proposed ecosystem and the documentation-oriented approaches examined in Section 3.1, in which the practitioner appears only as a subject of record.</w:t>
      </w:r>
    </w:p>
    <w:p w14:paraId="790F5798">
      <w:pPr>
        <w:pStyle w:val="4"/>
        <w:bidi w:val="0"/>
        <w:rPr>
          <w:rFonts w:hint="eastAsia"/>
          <w:lang w:val="en-US" w:eastAsia="zh-CN"/>
        </w:rPr>
      </w:pPr>
      <w:bookmarkStart w:id="30" w:name="_Toc26158"/>
      <w:r>
        <w:rPr>
          <w:rFonts w:hint="eastAsia"/>
          <w:lang w:val="en-US" w:eastAsia="zh-CN"/>
        </w:rPr>
        <w:t>2.5 Phased Implementation Roadmap</w:t>
      </w:r>
      <w:bookmarkEnd w:id="30"/>
    </w:p>
    <w:p w14:paraId="01DBC396">
      <w:pPr>
        <w:bidi w:val="0"/>
        <w:ind w:firstLine="420" w:firstLineChars="0"/>
        <w:rPr>
          <w:rFonts w:hint="default"/>
          <w:b/>
          <w:bCs/>
          <w:lang w:val="en-US" w:eastAsia="zh-CN"/>
        </w:rPr>
      </w:pPr>
      <w:r>
        <w:rPr>
          <w:rFonts w:hint="default"/>
          <w:b w:val="0"/>
          <w:bCs w:val="0"/>
          <w:lang w:val="en-US" w:eastAsia="zh-CN"/>
        </w:rPr>
        <w:t xml:space="preserve">The framework is designed for staged implementation rather than simultaneous deployment of all four components. Each phase produces an independently usable deliverable, so that value is realised progressively and the </w:t>
      </w:r>
      <w:r>
        <w:rPr>
          <w:rFonts w:hint="eastAsia"/>
          <w:b w:val="0"/>
          <w:bCs w:val="0"/>
          <w:lang w:val="en-US" w:eastAsia="zh-CN"/>
        </w:rPr>
        <w:t>program</w:t>
      </w:r>
      <w:r>
        <w:rPr>
          <w:rFonts w:hint="default"/>
          <w:b w:val="0"/>
          <w:bCs w:val="0"/>
          <w:lang w:val="en-US" w:eastAsia="zh-CN"/>
        </w:rPr>
        <w:t xml:space="preserve"> is not contingent on completing the full system</w:t>
      </w:r>
      <w:r>
        <w:rPr>
          <w:rFonts w:hint="default"/>
          <w:b/>
          <w:bCs/>
          <w:lang w:val="en-US" w:eastAsia="zh-CN"/>
        </w:rPr>
        <w:t>.</w:t>
      </w:r>
    </w:p>
    <w:p w14:paraId="5175920D">
      <w:pPr>
        <w:bidi w:val="0"/>
        <w:rPr>
          <w:rFonts w:hint="eastAsia"/>
          <w:b/>
          <w:bCs/>
          <w:lang w:val="en-US" w:eastAsia="zh-CN"/>
        </w:rPr>
      </w:pPr>
      <w:r>
        <w:rPr>
          <w:rFonts w:hint="eastAsia"/>
          <w:b/>
          <w:bCs/>
          <w:lang w:val="en-US" w:eastAsia="zh-CN"/>
        </w:rPr>
        <w:t>Table 5</w:t>
      </w:r>
    </w:p>
    <w:p w14:paraId="3EEF1BC8">
      <w:pPr>
        <w:bidi w:val="0"/>
        <w:rPr>
          <w:rFonts w:hint="default"/>
          <w:b w:val="0"/>
          <w:bCs w:val="0"/>
          <w:i/>
          <w:iCs/>
          <w:lang w:val="en-US" w:eastAsia="zh-CN"/>
        </w:rPr>
      </w:pPr>
      <w:r>
        <w:rPr>
          <w:rFonts w:hint="eastAsia"/>
          <w:b w:val="0"/>
          <w:bCs w:val="0"/>
          <w:i/>
          <w:iCs/>
          <w:lang w:val="en-US" w:eastAsia="zh-CN"/>
        </w:rPr>
        <w:t>Phased implementation roadmap</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059"/>
        <w:gridCol w:w="4689"/>
        <w:gridCol w:w="2306"/>
      </w:tblGrid>
      <w:tr w14:paraId="18F29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88" w:type="dxa"/>
            <w:tcBorders>
              <w:top w:val="single" w:color="000000" w:sz="12" w:space="0"/>
              <w:left w:val="nil"/>
              <w:bottom w:val="single" w:color="000000" w:sz="4" w:space="0"/>
              <w:right w:val="nil"/>
              <w:tl2br w:val="nil"/>
            </w:tcBorders>
            <w:shd w:val="clear" w:color="auto" w:fill="FFFFFF"/>
          </w:tcPr>
          <w:p w14:paraId="2E500515">
            <w:pPr>
              <w:spacing w:before="40" w:after="40"/>
              <w:jc w:val="center"/>
              <w:rPr>
                <w:b w:val="0"/>
                <w:color w:val="000000"/>
                <w:sz w:val="21"/>
                <w:szCs w:val="21"/>
              </w:rPr>
            </w:pPr>
            <w:r>
              <w:rPr>
                <w:b w:val="0"/>
                <w:color w:val="000000"/>
                <w:sz w:val="21"/>
                <w:szCs w:val="21"/>
              </w:rPr>
              <w:t>Phase</w:t>
            </w:r>
          </w:p>
        </w:tc>
        <w:tc>
          <w:tcPr>
            <w:tcW w:w="1059" w:type="dxa"/>
            <w:tcBorders>
              <w:top w:val="single" w:color="000000" w:sz="12" w:space="0"/>
              <w:left w:val="nil"/>
              <w:bottom w:val="single" w:color="000000" w:sz="4" w:space="0"/>
              <w:right w:val="nil"/>
            </w:tcBorders>
            <w:shd w:val="clear" w:color="auto" w:fill="FFFFFF"/>
          </w:tcPr>
          <w:p w14:paraId="12617E17">
            <w:pPr>
              <w:spacing w:before="40" w:after="40"/>
              <w:jc w:val="center"/>
              <w:rPr>
                <w:b w:val="0"/>
                <w:color w:val="000000"/>
                <w:sz w:val="21"/>
                <w:szCs w:val="21"/>
              </w:rPr>
            </w:pPr>
            <w:r>
              <w:rPr>
                <w:b w:val="0"/>
                <w:color w:val="000000"/>
                <w:sz w:val="21"/>
                <w:szCs w:val="21"/>
              </w:rPr>
              <w:t>Duration</w:t>
            </w:r>
          </w:p>
        </w:tc>
        <w:tc>
          <w:tcPr>
            <w:tcW w:w="0" w:type="auto"/>
            <w:tcBorders>
              <w:top w:val="single" w:color="000000" w:sz="12" w:space="0"/>
              <w:left w:val="nil"/>
              <w:bottom w:val="single" w:color="000000" w:sz="4" w:space="0"/>
              <w:right w:val="nil"/>
            </w:tcBorders>
            <w:shd w:val="clear" w:color="auto" w:fill="FFFFFF"/>
          </w:tcPr>
          <w:p w14:paraId="03123953">
            <w:pPr>
              <w:spacing w:before="40" w:after="40"/>
              <w:jc w:val="center"/>
              <w:rPr>
                <w:b w:val="0"/>
                <w:color w:val="000000"/>
                <w:sz w:val="21"/>
                <w:szCs w:val="21"/>
              </w:rPr>
            </w:pPr>
            <w:r>
              <w:rPr>
                <w:b w:val="0"/>
                <w:color w:val="000000"/>
                <w:sz w:val="21"/>
                <w:szCs w:val="21"/>
              </w:rPr>
              <w:t>Scope</w:t>
            </w:r>
          </w:p>
        </w:tc>
        <w:tc>
          <w:tcPr>
            <w:tcW w:w="0" w:type="auto"/>
            <w:tcBorders>
              <w:top w:val="single" w:color="000000" w:sz="12" w:space="0"/>
              <w:left w:val="nil"/>
              <w:bottom w:val="single" w:color="000000" w:sz="4" w:space="0"/>
              <w:right w:val="nil"/>
            </w:tcBorders>
            <w:shd w:val="clear" w:color="auto" w:fill="FFFFFF"/>
          </w:tcPr>
          <w:p w14:paraId="7A759639">
            <w:pPr>
              <w:spacing w:before="40" w:after="40"/>
              <w:jc w:val="center"/>
              <w:rPr>
                <w:b w:val="0"/>
                <w:color w:val="000000"/>
                <w:sz w:val="21"/>
                <w:szCs w:val="21"/>
              </w:rPr>
            </w:pPr>
            <w:r>
              <w:rPr>
                <w:b w:val="0"/>
                <w:color w:val="000000"/>
                <w:sz w:val="21"/>
                <w:szCs w:val="21"/>
              </w:rPr>
              <w:t>Deliverable</w:t>
            </w:r>
          </w:p>
        </w:tc>
      </w:tr>
      <w:tr w14:paraId="1B14A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single" w:color="000000" w:sz="4" w:space="0"/>
              <w:left w:val="nil"/>
              <w:bottom w:val="nil"/>
              <w:right w:val="nil"/>
            </w:tcBorders>
            <w:shd w:val="clear" w:color="auto" w:fill="FFFFFF"/>
          </w:tcPr>
          <w:p w14:paraId="7DF09AB1">
            <w:pPr>
              <w:spacing w:before="40" w:after="40"/>
              <w:jc w:val="center"/>
              <w:rPr>
                <w:b w:val="0"/>
                <w:color w:val="000000"/>
                <w:sz w:val="21"/>
                <w:szCs w:val="21"/>
              </w:rPr>
            </w:pPr>
            <w:r>
              <w:rPr>
                <w:b w:val="0"/>
                <w:i w:val="0"/>
                <w:color w:val="000000"/>
                <w:sz w:val="21"/>
                <w:szCs w:val="21"/>
              </w:rPr>
              <w:t>0　Seeding</w:t>
            </w:r>
          </w:p>
        </w:tc>
        <w:tc>
          <w:tcPr>
            <w:tcW w:w="1059" w:type="dxa"/>
            <w:tcBorders>
              <w:top w:val="single" w:color="000000" w:sz="4" w:space="0"/>
              <w:left w:val="nil"/>
              <w:bottom w:val="nil"/>
              <w:right w:val="nil"/>
            </w:tcBorders>
            <w:shd w:val="clear" w:color="auto" w:fill="FFFFFF"/>
          </w:tcPr>
          <w:p w14:paraId="33329CFC">
            <w:pPr>
              <w:spacing w:before="40" w:after="40"/>
              <w:jc w:val="center"/>
              <w:rPr>
                <w:b w:val="0"/>
                <w:color w:val="000000"/>
                <w:sz w:val="21"/>
                <w:szCs w:val="21"/>
              </w:rPr>
            </w:pPr>
            <w:r>
              <w:rPr>
                <w:b w:val="0"/>
                <w:color w:val="000000"/>
                <w:sz w:val="21"/>
                <w:szCs w:val="21"/>
              </w:rPr>
              <w:t>3–6 months</w:t>
            </w:r>
          </w:p>
        </w:tc>
        <w:tc>
          <w:tcPr>
            <w:tcW w:w="0" w:type="auto"/>
            <w:tcBorders>
              <w:top w:val="single" w:color="000000" w:sz="4" w:space="0"/>
              <w:left w:val="nil"/>
              <w:bottom w:val="nil"/>
              <w:right w:val="nil"/>
            </w:tcBorders>
            <w:shd w:val="clear" w:color="auto" w:fill="FFFFFF"/>
          </w:tcPr>
          <w:p w14:paraId="0455BCA2">
            <w:pPr>
              <w:spacing w:before="40" w:after="40"/>
              <w:jc w:val="center"/>
              <w:rPr>
                <w:b w:val="0"/>
                <w:color w:val="000000"/>
                <w:sz w:val="21"/>
                <w:szCs w:val="21"/>
              </w:rPr>
            </w:pPr>
            <w:r>
              <w:rPr>
                <w:b w:val="0"/>
                <w:color w:val="000000"/>
                <w:sz w:val="21"/>
                <w:szCs w:val="21"/>
              </w:rPr>
              <w:t>Institution-built base corpus: motif digitisation and annotation; procedural interviews with representative inheritors; structural survey of one Dahualou loom. No community dependency.</w:t>
            </w:r>
          </w:p>
        </w:tc>
        <w:tc>
          <w:tcPr>
            <w:tcW w:w="0" w:type="auto"/>
            <w:tcBorders>
              <w:top w:val="single" w:color="000000" w:sz="4" w:space="0"/>
              <w:left w:val="nil"/>
              <w:bottom w:val="nil"/>
              <w:right w:val="nil"/>
            </w:tcBorders>
            <w:shd w:val="clear" w:color="auto" w:fill="FFFFFF"/>
          </w:tcPr>
          <w:p w14:paraId="52CA5857">
            <w:pPr>
              <w:spacing w:before="40" w:after="40"/>
              <w:jc w:val="center"/>
              <w:rPr>
                <w:b w:val="0"/>
                <w:color w:val="000000"/>
                <w:sz w:val="21"/>
                <w:szCs w:val="21"/>
              </w:rPr>
            </w:pPr>
            <w:r>
              <w:rPr>
                <w:b w:val="0"/>
                <w:color w:val="000000"/>
                <w:sz w:val="21"/>
                <w:szCs w:val="21"/>
              </w:rPr>
              <w:t>Searchable motif database (prototype)</w:t>
            </w:r>
          </w:p>
        </w:tc>
      </w:tr>
      <w:tr w14:paraId="4040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nil"/>
              <w:left w:val="nil"/>
              <w:bottom w:val="nil"/>
              <w:right w:val="nil"/>
            </w:tcBorders>
            <w:shd w:val="clear" w:color="auto" w:fill="FFFFFF"/>
          </w:tcPr>
          <w:p w14:paraId="0082F54D">
            <w:pPr>
              <w:spacing w:before="40" w:after="40"/>
              <w:jc w:val="center"/>
              <w:rPr>
                <w:b w:val="0"/>
                <w:color w:val="000000"/>
                <w:sz w:val="21"/>
                <w:szCs w:val="21"/>
              </w:rPr>
            </w:pPr>
            <w:r>
              <w:rPr>
                <w:b w:val="0"/>
                <w:i w:val="0"/>
                <w:color w:val="000000"/>
                <w:sz w:val="21"/>
                <w:szCs w:val="21"/>
              </w:rPr>
              <w:t>1　MVP</w:t>
            </w:r>
          </w:p>
        </w:tc>
        <w:tc>
          <w:tcPr>
            <w:tcW w:w="1059" w:type="dxa"/>
            <w:tcBorders>
              <w:top w:val="nil"/>
              <w:left w:val="nil"/>
              <w:bottom w:val="nil"/>
              <w:right w:val="nil"/>
            </w:tcBorders>
            <w:shd w:val="clear" w:color="auto" w:fill="FFFFFF"/>
          </w:tcPr>
          <w:p w14:paraId="0E21C331">
            <w:pPr>
              <w:spacing w:before="40" w:after="40"/>
              <w:jc w:val="center"/>
              <w:rPr>
                <w:b w:val="0"/>
                <w:color w:val="000000"/>
                <w:sz w:val="21"/>
                <w:szCs w:val="21"/>
              </w:rPr>
            </w:pPr>
            <w:r>
              <w:rPr>
                <w:b w:val="0"/>
                <w:color w:val="000000"/>
                <w:sz w:val="21"/>
                <w:szCs w:val="21"/>
              </w:rPr>
              <w:t>6–12 months</w:t>
            </w:r>
          </w:p>
        </w:tc>
        <w:tc>
          <w:tcPr>
            <w:tcW w:w="0" w:type="auto"/>
            <w:tcBorders>
              <w:top w:val="nil"/>
              <w:left w:val="nil"/>
              <w:bottom w:val="nil"/>
              <w:right w:val="nil"/>
            </w:tcBorders>
            <w:shd w:val="clear" w:color="auto" w:fill="FFFFFF"/>
          </w:tcPr>
          <w:p w14:paraId="200AE159">
            <w:pPr>
              <w:spacing w:before="40" w:after="40"/>
              <w:jc w:val="center"/>
              <w:rPr>
                <w:b w:val="0"/>
                <w:color w:val="000000"/>
                <w:sz w:val="21"/>
                <w:szCs w:val="21"/>
              </w:rPr>
            </w:pPr>
            <w:r>
              <w:rPr>
                <w:b w:val="0"/>
                <w:color w:val="000000"/>
                <w:sz w:val="21"/>
                <w:szCs w:val="21"/>
              </w:rPr>
              <w:t>Motif knowledge base online; AR gallery guide at the museum. No full Digital Twin at this stage. Hosted within existing museum premises and collections.</w:t>
            </w:r>
          </w:p>
        </w:tc>
        <w:tc>
          <w:tcPr>
            <w:tcW w:w="0" w:type="auto"/>
            <w:tcBorders>
              <w:top w:val="nil"/>
              <w:left w:val="nil"/>
              <w:bottom w:val="nil"/>
              <w:right w:val="nil"/>
            </w:tcBorders>
            <w:shd w:val="clear" w:color="auto" w:fill="FFFFFF"/>
          </w:tcPr>
          <w:p w14:paraId="6F1DA855">
            <w:pPr>
              <w:spacing w:before="40" w:after="40"/>
              <w:jc w:val="center"/>
              <w:rPr>
                <w:b w:val="0"/>
                <w:color w:val="000000"/>
                <w:sz w:val="21"/>
                <w:szCs w:val="21"/>
              </w:rPr>
            </w:pPr>
            <w:r>
              <w:rPr>
                <w:b w:val="0"/>
                <w:color w:val="000000"/>
                <w:sz w:val="21"/>
                <w:szCs w:val="21"/>
              </w:rPr>
              <w:t>Public motif library; in-gallery AR guide; community annotation function</w:t>
            </w:r>
          </w:p>
        </w:tc>
      </w:tr>
      <w:tr w14:paraId="482E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nil"/>
              <w:left w:val="nil"/>
              <w:bottom w:val="single" w:color="000000" w:sz="12" w:space="0"/>
              <w:right w:val="nil"/>
            </w:tcBorders>
            <w:shd w:val="clear" w:color="auto" w:fill="FFFFFF"/>
          </w:tcPr>
          <w:p w14:paraId="7C8D47C5">
            <w:pPr>
              <w:spacing w:before="40" w:after="40"/>
              <w:jc w:val="center"/>
              <w:rPr>
                <w:b w:val="0"/>
                <w:color w:val="000000"/>
                <w:sz w:val="21"/>
                <w:szCs w:val="21"/>
              </w:rPr>
            </w:pPr>
            <w:r>
              <w:rPr>
                <w:b w:val="0"/>
                <w:i w:val="0"/>
                <w:color w:val="000000"/>
                <w:sz w:val="21"/>
                <w:szCs w:val="21"/>
              </w:rPr>
              <w:t>2　Expansion</w:t>
            </w:r>
          </w:p>
        </w:tc>
        <w:tc>
          <w:tcPr>
            <w:tcW w:w="1059" w:type="dxa"/>
            <w:tcBorders>
              <w:top w:val="nil"/>
              <w:left w:val="nil"/>
              <w:bottom w:val="single" w:color="000000" w:sz="12" w:space="0"/>
              <w:right w:val="nil"/>
            </w:tcBorders>
            <w:shd w:val="clear" w:color="auto" w:fill="FFFFFF"/>
          </w:tcPr>
          <w:p w14:paraId="1D4402FC">
            <w:pPr>
              <w:spacing w:before="40" w:after="40"/>
              <w:jc w:val="center"/>
              <w:rPr>
                <w:b w:val="0"/>
                <w:color w:val="000000"/>
                <w:sz w:val="21"/>
                <w:szCs w:val="21"/>
              </w:rPr>
            </w:pPr>
            <w:r>
              <w:rPr>
                <w:b w:val="0"/>
                <w:color w:val="000000"/>
                <w:sz w:val="21"/>
                <w:szCs w:val="21"/>
              </w:rPr>
              <w:t>12–24 months</w:t>
            </w:r>
          </w:p>
        </w:tc>
        <w:tc>
          <w:tcPr>
            <w:tcW w:w="0" w:type="auto"/>
            <w:tcBorders>
              <w:top w:val="nil"/>
              <w:left w:val="nil"/>
              <w:bottom w:val="single" w:color="000000" w:sz="12" w:space="0"/>
              <w:right w:val="nil"/>
            </w:tcBorders>
            <w:shd w:val="clear" w:color="auto" w:fill="FFFFFF"/>
          </w:tcPr>
          <w:p w14:paraId="02532BC8">
            <w:pPr>
              <w:spacing w:before="40" w:after="40"/>
              <w:jc w:val="center"/>
              <w:rPr>
                <w:b w:val="0"/>
                <w:color w:val="000000"/>
                <w:sz w:val="21"/>
                <w:szCs w:val="21"/>
              </w:rPr>
            </w:pPr>
            <w:r>
              <w:rPr>
                <w:b w:val="0"/>
                <w:color w:val="000000"/>
                <w:sz w:val="21"/>
                <w:szCs w:val="21"/>
              </w:rPr>
              <w:t>Loom structural modelling; single-user VR weaving module; knowledge-graph construction.</w:t>
            </w:r>
          </w:p>
        </w:tc>
        <w:tc>
          <w:tcPr>
            <w:tcW w:w="0" w:type="auto"/>
            <w:tcBorders>
              <w:top w:val="nil"/>
              <w:left w:val="nil"/>
              <w:bottom w:val="single" w:color="000000" w:sz="12" w:space="0"/>
              <w:right w:val="nil"/>
            </w:tcBorders>
            <w:shd w:val="clear" w:color="auto" w:fill="FFFFFF"/>
          </w:tcPr>
          <w:p w14:paraId="6BB60C97">
            <w:pPr>
              <w:spacing w:before="40" w:after="40"/>
              <w:jc w:val="center"/>
              <w:rPr>
                <w:b w:val="0"/>
                <w:color w:val="000000"/>
                <w:sz w:val="21"/>
                <w:szCs w:val="21"/>
              </w:rPr>
            </w:pPr>
            <w:r>
              <w:rPr>
                <w:b w:val="0"/>
                <w:color w:val="000000"/>
                <w:sz w:val="21"/>
                <w:szCs w:val="21"/>
              </w:rPr>
              <w:t>VR learning module; structured knowledge graph</w:t>
            </w:r>
          </w:p>
        </w:tc>
      </w:tr>
    </w:tbl>
    <w:p w14:paraId="1E3C0809">
      <w:pPr>
        <w:bidi w:val="0"/>
        <w:spacing w:before="0" w:beforeLines="0" w:after="0" w:afterLines="0" w:line="240" w:lineRule="auto"/>
        <w:rPr>
          <w:rFonts w:hint="eastAsia"/>
          <w:b/>
          <w:bCs/>
          <w:lang w:val="en-US" w:eastAsia="zh-CN"/>
        </w:rPr>
      </w:pPr>
    </w:p>
    <w:p w14:paraId="36D7AE82">
      <w:pPr>
        <w:bidi w:val="0"/>
        <w:rPr>
          <w:rFonts w:hint="eastAsia"/>
          <w:b/>
          <w:bCs/>
          <w:lang w:val="en-US" w:eastAsia="zh-CN"/>
        </w:rPr>
      </w:pPr>
      <w:r>
        <w:rPr>
          <w:rFonts w:hint="eastAsia"/>
          <w:b/>
          <w:bCs/>
          <w:lang w:val="en-US" w:eastAsia="zh-CN"/>
        </w:rPr>
        <w:t>Continued Table 5</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059"/>
        <w:gridCol w:w="4917"/>
        <w:gridCol w:w="2078"/>
      </w:tblGrid>
      <w:tr w14:paraId="7714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88" w:type="dxa"/>
            <w:tcBorders>
              <w:top w:val="single" w:color="000000" w:sz="12" w:space="0"/>
              <w:left w:val="nil"/>
              <w:bottom w:val="single" w:color="000000" w:sz="4" w:space="0"/>
              <w:right w:val="nil"/>
              <w:tl2br w:val="nil"/>
            </w:tcBorders>
            <w:shd w:val="clear" w:color="auto" w:fill="FFFFFF"/>
          </w:tcPr>
          <w:p w14:paraId="3AC661F9">
            <w:pPr>
              <w:spacing w:before="40" w:after="40"/>
              <w:jc w:val="center"/>
              <w:rPr>
                <w:b w:val="0"/>
                <w:color w:val="000000"/>
                <w:sz w:val="21"/>
                <w:szCs w:val="21"/>
              </w:rPr>
            </w:pPr>
            <w:r>
              <w:rPr>
                <w:b w:val="0"/>
                <w:color w:val="000000"/>
                <w:sz w:val="21"/>
                <w:szCs w:val="21"/>
              </w:rPr>
              <w:t>Phase</w:t>
            </w:r>
          </w:p>
        </w:tc>
        <w:tc>
          <w:tcPr>
            <w:tcW w:w="1059" w:type="dxa"/>
            <w:tcBorders>
              <w:top w:val="single" w:color="000000" w:sz="12" w:space="0"/>
              <w:left w:val="nil"/>
              <w:bottom w:val="single" w:color="000000" w:sz="4" w:space="0"/>
              <w:right w:val="nil"/>
            </w:tcBorders>
            <w:shd w:val="clear" w:color="auto" w:fill="FFFFFF"/>
          </w:tcPr>
          <w:p w14:paraId="28314323">
            <w:pPr>
              <w:spacing w:before="40" w:after="40"/>
              <w:jc w:val="center"/>
              <w:rPr>
                <w:b w:val="0"/>
                <w:color w:val="000000"/>
                <w:sz w:val="21"/>
                <w:szCs w:val="21"/>
              </w:rPr>
            </w:pPr>
            <w:r>
              <w:rPr>
                <w:b w:val="0"/>
                <w:color w:val="000000"/>
                <w:sz w:val="21"/>
                <w:szCs w:val="21"/>
              </w:rPr>
              <w:t>Duration</w:t>
            </w:r>
          </w:p>
        </w:tc>
        <w:tc>
          <w:tcPr>
            <w:tcW w:w="0" w:type="auto"/>
            <w:tcBorders>
              <w:top w:val="single" w:color="000000" w:sz="12" w:space="0"/>
              <w:left w:val="nil"/>
              <w:bottom w:val="single" w:color="000000" w:sz="4" w:space="0"/>
              <w:right w:val="nil"/>
            </w:tcBorders>
            <w:shd w:val="clear" w:color="auto" w:fill="FFFFFF"/>
          </w:tcPr>
          <w:p w14:paraId="50AE5559">
            <w:pPr>
              <w:spacing w:before="40" w:after="40"/>
              <w:jc w:val="center"/>
              <w:rPr>
                <w:b w:val="0"/>
                <w:color w:val="000000"/>
                <w:sz w:val="21"/>
                <w:szCs w:val="21"/>
              </w:rPr>
            </w:pPr>
            <w:r>
              <w:rPr>
                <w:b w:val="0"/>
                <w:color w:val="000000"/>
                <w:sz w:val="21"/>
                <w:szCs w:val="21"/>
              </w:rPr>
              <w:t>Scope</w:t>
            </w:r>
          </w:p>
        </w:tc>
        <w:tc>
          <w:tcPr>
            <w:tcW w:w="0" w:type="auto"/>
            <w:tcBorders>
              <w:top w:val="single" w:color="000000" w:sz="12" w:space="0"/>
              <w:left w:val="nil"/>
              <w:bottom w:val="single" w:color="000000" w:sz="4" w:space="0"/>
              <w:right w:val="nil"/>
            </w:tcBorders>
            <w:shd w:val="clear" w:color="auto" w:fill="FFFFFF"/>
          </w:tcPr>
          <w:p w14:paraId="349B220F">
            <w:pPr>
              <w:spacing w:before="40" w:after="40"/>
              <w:jc w:val="center"/>
              <w:rPr>
                <w:b w:val="0"/>
                <w:color w:val="000000"/>
                <w:sz w:val="21"/>
                <w:szCs w:val="21"/>
              </w:rPr>
            </w:pPr>
            <w:r>
              <w:rPr>
                <w:b w:val="0"/>
                <w:color w:val="000000"/>
                <w:sz w:val="21"/>
                <w:szCs w:val="21"/>
              </w:rPr>
              <w:t>Deliverable</w:t>
            </w:r>
          </w:p>
        </w:tc>
      </w:tr>
      <w:tr w14:paraId="5513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op w:val="nil"/>
              <w:left w:val="nil"/>
              <w:bottom w:val="single" w:color="000000" w:sz="12" w:space="0"/>
              <w:right w:val="nil"/>
            </w:tcBorders>
            <w:shd w:val="clear" w:color="auto" w:fill="FFFFFF"/>
          </w:tcPr>
          <w:p w14:paraId="17914C47">
            <w:pPr>
              <w:spacing w:before="40" w:after="40"/>
              <w:jc w:val="center"/>
              <w:rPr>
                <w:b w:val="0"/>
                <w:color w:val="000000"/>
                <w:sz w:val="21"/>
                <w:szCs w:val="21"/>
              </w:rPr>
            </w:pPr>
            <w:r>
              <w:rPr>
                <w:b w:val="0"/>
                <w:i w:val="0"/>
                <w:color w:val="000000"/>
                <w:sz w:val="21"/>
                <w:szCs w:val="21"/>
              </w:rPr>
              <w:t>3　Full system</w:t>
            </w:r>
          </w:p>
        </w:tc>
        <w:tc>
          <w:tcPr>
            <w:tcW w:w="1059" w:type="dxa"/>
            <w:tcBorders>
              <w:top w:val="nil"/>
              <w:left w:val="nil"/>
              <w:bottom w:val="single" w:color="000000" w:sz="12" w:space="0"/>
              <w:right w:val="nil"/>
            </w:tcBorders>
            <w:shd w:val="clear" w:color="auto" w:fill="FFFFFF"/>
          </w:tcPr>
          <w:p w14:paraId="151D1241">
            <w:pPr>
              <w:spacing w:before="40" w:after="40"/>
              <w:jc w:val="center"/>
              <w:rPr>
                <w:b w:val="0"/>
                <w:color w:val="000000"/>
                <w:sz w:val="21"/>
                <w:szCs w:val="21"/>
              </w:rPr>
            </w:pPr>
            <w:r>
              <w:rPr>
                <w:b w:val="0"/>
                <w:color w:val="000000"/>
                <w:sz w:val="21"/>
                <w:szCs w:val="21"/>
              </w:rPr>
              <w:t>24+ months</w:t>
            </w:r>
          </w:p>
        </w:tc>
        <w:tc>
          <w:tcPr>
            <w:tcW w:w="0" w:type="auto"/>
            <w:tcBorders>
              <w:top w:val="nil"/>
              <w:left w:val="nil"/>
              <w:bottom w:val="single" w:color="000000" w:sz="12" w:space="0"/>
              <w:right w:val="nil"/>
            </w:tcBorders>
            <w:shd w:val="clear" w:color="auto" w:fill="FFFFFF"/>
          </w:tcPr>
          <w:p w14:paraId="48BF7BB7">
            <w:pPr>
              <w:spacing w:before="40" w:after="40"/>
              <w:jc w:val="center"/>
              <w:rPr>
                <w:b w:val="0"/>
                <w:color w:val="000000"/>
                <w:sz w:val="21"/>
                <w:szCs w:val="21"/>
              </w:rPr>
            </w:pPr>
            <w:r>
              <w:rPr>
                <w:b w:val="0"/>
                <w:color w:val="000000"/>
                <w:sz w:val="21"/>
                <w:szCs w:val="21"/>
              </w:rPr>
              <w:t>Complete three-layer Digital Twin; two-person cooperative module; community co-creation platform with benefit-sharing mechanism.</w:t>
            </w:r>
          </w:p>
        </w:tc>
        <w:tc>
          <w:tcPr>
            <w:tcW w:w="0" w:type="auto"/>
            <w:tcBorders>
              <w:top w:val="nil"/>
              <w:left w:val="nil"/>
              <w:bottom w:val="single" w:color="000000" w:sz="12" w:space="0"/>
              <w:right w:val="nil"/>
            </w:tcBorders>
            <w:shd w:val="clear" w:color="auto" w:fill="FFFFFF"/>
          </w:tcPr>
          <w:p w14:paraId="03EFDA87">
            <w:pPr>
              <w:spacing w:before="40" w:after="40"/>
              <w:jc w:val="center"/>
              <w:rPr>
                <w:b w:val="0"/>
                <w:color w:val="000000"/>
                <w:sz w:val="21"/>
                <w:szCs w:val="21"/>
              </w:rPr>
            </w:pPr>
            <w:r>
              <w:rPr>
                <w:b w:val="0"/>
                <w:color w:val="000000"/>
                <w:sz w:val="21"/>
                <w:szCs w:val="21"/>
              </w:rPr>
              <w:t>Full ecosystem as described in Section 2.4</w:t>
            </w:r>
          </w:p>
        </w:tc>
      </w:tr>
    </w:tbl>
    <w:p w14:paraId="61BAD56A">
      <w:pPr>
        <w:bidi w:val="0"/>
        <w:spacing w:before="0" w:beforeLines="0" w:after="0" w:afterLines="0" w:line="240" w:lineRule="auto"/>
        <w:rPr>
          <w:rFonts w:hint="default"/>
          <w:b w:val="0"/>
          <w:bCs w:val="0"/>
          <w:lang w:val="en-US" w:eastAsia="zh-CN"/>
        </w:rPr>
      </w:pPr>
    </w:p>
    <w:p w14:paraId="147C6FD9">
      <w:pPr>
        <w:bidi w:val="0"/>
        <w:ind w:firstLine="420" w:firstLineChars="0"/>
        <w:rPr>
          <w:rFonts w:hint="default"/>
          <w:b w:val="0"/>
          <w:bCs w:val="0"/>
          <w:lang w:val="en-US" w:eastAsia="zh-CN"/>
        </w:rPr>
      </w:pPr>
      <w:r>
        <w:rPr>
          <w:rFonts w:hint="default"/>
          <w:b w:val="0"/>
          <w:bCs w:val="0"/>
          <w:lang w:val="en-US" w:eastAsia="zh-CN"/>
        </w:rPr>
        <w:t>Sequencing is determined by data dependency rather than by technical prominence. The motif database and annotation mechanism are placed first because they are the shared data foundation on which the other three components draw; the Digital Twin, although the most technically distinctive element, would function only as an isolated demonstration without that foundation in place.</w:t>
      </w:r>
    </w:p>
    <w:p w14:paraId="15462334">
      <w:pPr>
        <w:numPr>
          <w:ilvl w:val="0"/>
          <w:numId w:val="0"/>
        </w:numPr>
        <w:bidi w:val="0"/>
        <w:ind w:leftChars="0"/>
        <w:rPr>
          <w:rFonts w:hint="default"/>
          <w:lang w:val="en-US" w:eastAsia="zh-CN"/>
        </w:rPr>
      </w:pPr>
    </w:p>
    <w:p w14:paraId="3560882A">
      <w:pPr>
        <w:rPr>
          <w:rFonts w:hint="default"/>
          <w:lang w:val="en-US" w:eastAsia="zh-CN"/>
        </w:rPr>
      </w:pPr>
      <w:r>
        <w:rPr>
          <w:rFonts w:hint="default"/>
          <w:lang w:val="en-US" w:eastAsia="zh-CN"/>
        </w:rPr>
        <w:br w:type="page"/>
      </w:r>
    </w:p>
    <w:p w14:paraId="45062964">
      <w:pPr>
        <w:pStyle w:val="2"/>
        <w:bidi w:val="0"/>
        <w:jc w:val="center"/>
        <w:rPr>
          <w:rFonts w:hint="default"/>
          <w:lang w:val="en-US" w:eastAsia="zh-CN"/>
        </w:rPr>
      </w:pPr>
      <w:bookmarkStart w:id="31" w:name="_Toc7914"/>
      <w:r>
        <w:rPr>
          <w:rFonts w:hint="eastAsia"/>
          <w:lang w:val="en-US" w:eastAsia="zh-CN"/>
        </w:rPr>
        <w:t>3</w:t>
      </w:r>
      <w:r>
        <w:rPr>
          <w:rFonts w:hint="default"/>
          <w:lang w:val="en-US" w:eastAsia="zh-CN"/>
        </w:rPr>
        <w:t>.</w:t>
      </w:r>
      <w:r>
        <w:rPr>
          <w:rFonts w:hint="eastAsia"/>
          <w:lang w:val="en-US" w:eastAsia="zh-CN"/>
        </w:rPr>
        <w:t xml:space="preserve"> Results</w:t>
      </w:r>
      <w:bookmarkEnd w:id="31"/>
    </w:p>
    <w:p w14:paraId="5874444C">
      <w:pPr>
        <w:pStyle w:val="3"/>
        <w:bidi w:val="0"/>
        <w:rPr>
          <w:rFonts w:hint="eastAsia"/>
          <w:lang w:val="en-US" w:eastAsia="zh-CN"/>
        </w:rPr>
      </w:pPr>
      <w:bookmarkStart w:id="32" w:name="_Toc4222"/>
      <w:r>
        <w:rPr>
          <w:rFonts w:hint="eastAsia"/>
          <w:lang w:val="en-US" w:eastAsia="zh-CN"/>
        </w:rPr>
        <w:t>3</w:t>
      </w:r>
      <w:r>
        <w:rPr>
          <w:rFonts w:hint="default"/>
          <w:lang w:val="en-US" w:eastAsia="zh-CN"/>
        </w:rPr>
        <w:t>.1</w:t>
      </w:r>
      <w:r>
        <w:rPr>
          <w:rFonts w:hint="eastAsia"/>
          <w:lang w:val="en-US" w:eastAsia="zh-CN"/>
        </w:rPr>
        <w:t xml:space="preserve"> Findings from Comparative Analysis of Existing Digital Heritage Practices</w:t>
      </w:r>
      <w:bookmarkEnd w:id="32"/>
    </w:p>
    <w:p w14:paraId="03B76236">
      <w:pPr>
        <w:bidi w:val="0"/>
        <w:ind w:firstLine="480" w:firstLineChars="200"/>
        <w:rPr>
          <w:rFonts w:hint="default"/>
          <w:lang w:val="en-US" w:eastAsia="zh-CN"/>
        </w:rPr>
      </w:pPr>
      <w:r>
        <w:rPr>
          <w:rFonts w:hint="default"/>
          <w:lang w:val="en-US" w:eastAsia="zh-CN"/>
        </w:rPr>
        <w:t>Based on the comparative analysis of existing digital heritage preservation practices, three major findings were identified. Although digital technologies have significantly improved the accessibility and preservation of intangible cultural heritage, current approaches still show limitations in terms of cultural transmission, user engagement, and long-term sustainability</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[1,10]</w:t>
      </w:r>
      <w:r>
        <w:rPr>
          <w:rFonts w:hint="default"/>
          <w:lang w:val="en-US" w:eastAsia="zh-CN"/>
        </w:rPr>
        <w:fldChar w:fldCharType="end"/>
      </w:r>
      <w:r>
        <w:rPr>
          <w:rFonts w:hint="default"/>
          <w:lang w:val="en-US" w:eastAsia="zh-CN"/>
        </w:rPr>
        <w:t>.</w:t>
      </w:r>
    </w:p>
    <w:p w14:paraId="7A8DFC8F">
      <w:pPr>
        <w:bidi w:val="0"/>
        <w:ind w:firstLine="480" w:firstLineChars="200"/>
        <w:rPr>
          <w:rFonts w:hint="default"/>
          <w:lang w:val="en-US" w:eastAsia="zh-CN"/>
        </w:rPr>
      </w:pPr>
      <w:r>
        <w:rPr>
          <w:rFonts w:hint="default"/>
          <w:lang w:val="en-US" w:eastAsia="zh-CN"/>
        </w:rPr>
        <w:t>Finding 1: Existing digital approaches mainly focus on documentation rather than transmission</w:t>
      </w:r>
    </w:p>
    <w:p w14:paraId="765F8FFB">
      <w:pPr>
        <w:bidi w:val="0"/>
        <w:ind w:firstLine="480" w:firstLineChars="200"/>
        <w:rPr>
          <w:rFonts w:hint="default"/>
          <w:lang w:val="en-US" w:eastAsia="zh-CN"/>
        </w:rPr>
      </w:pPr>
      <w:r>
        <w:rPr>
          <w:rFonts w:hint="default"/>
          <w:lang w:val="en-US" w:eastAsia="zh-CN"/>
        </w:rPr>
        <w:t>The first finding is that most existing digital heritage projects remain preservation-oriented. Technologies such as digital archives, 3D scanning, and virtual exhibitions effectively record and display cultural information; however, they mainly function as static repositories rather than interactive platforms that encourage continuous learning and participation</w:t>
      </w:r>
      <w:r>
        <w:rPr>
          <w:rFonts w:hint="default"/>
          <w:lang w:val="en-US" w:eastAsia="zh-CN"/>
        </w:rPr>
        <w:fldChar w:fldCharType="begin"/>
      </w:r>
      <w:r>
        <w:rPr>
          <w:rFonts w:hint="default"/>
          <w:lang w:val="en-US" w:eastAsia="zh-CN"/>
        </w:rPr>
        <w:instrText xml:space="preserve"> REF _Ref31490 \r \h </w:instrText>
      </w:r>
      <w:r>
        <w:rPr>
          <w:rFonts w:hint="default"/>
          <w:lang w:val="en-US" w:eastAsia="zh-CN"/>
        </w:rPr>
        <w:fldChar w:fldCharType="separate"/>
      </w:r>
      <w:r>
        <w:rPr>
          <w:rFonts w:hint="default"/>
          <w:lang w:val="en-US" w:eastAsia="zh-CN"/>
        </w:rPr>
        <w:t>[3</w:t>
      </w:r>
      <w:r>
        <w:rPr>
          <w:rFonts w:hint="eastAsia"/>
          <w:lang w:val="en-US" w:eastAsia="zh-CN"/>
        </w:rPr>
        <w:t>,10</w:t>
      </w:r>
      <w:r>
        <w:rPr>
          <w:rFonts w:hint="default"/>
          <w:lang w:val="en-US" w:eastAsia="zh-CN"/>
        </w:rPr>
        <w:t>]</w:t>
      </w:r>
      <w:r>
        <w:rPr>
          <w:rFonts w:hint="default"/>
          <w:lang w:val="en-US" w:eastAsia="zh-CN"/>
        </w:rPr>
        <w:fldChar w:fldCharType="end"/>
      </w:r>
      <w:r>
        <w:rPr>
          <w:rFonts w:hint="default"/>
          <w:lang w:val="en-US" w:eastAsia="zh-CN"/>
        </w:rPr>
        <w:t>.</w:t>
      </w:r>
    </w:p>
    <w:p w14:paraId="6066544E">
      <w:pPr>
        <w:bidi w:val="0"/>
        <w:ind w:firstLine="480" w:firstLineChars="200"/>
        <w:rPr>
          <w:rFonts w:hint="default"/>
          <w:lang w:val="en-US" w:eastAsia="zh-CN"/>
        </w:rPr>
      </w:pPr>
      <w:r>
        <w:rPr>
          <w:rFonts w:hint="default"/>
          <w:lang w:val="en-US" w:eastAsia="zh-CN"/>
        </w:rPr>
        <w:t>Finding 2: Limited interaction reduces youth engagement</w:t>
      </w:r>
    </w:p>
    <w:p w14:paraId="079CB9BA">
      <w:pPr>
        <w:bidi w:val="0"/>
        <w:ind w:firstLine="480" w:firstLineChars="200"/>
        <w:rPr>
          <w:rFonts w:hint="default"/>
          <w:lang w:val="en-US" w:eastAsia="zh-CN"/>
        </w:rPr>
      </w:pPr>
      <w:r>
        <w:rPr>
          <w:rFonts w:hint="default"/>
          <w:lang w:val="en-US" w:eastAsia="zh-CN"/>
        </w:rPr>
        <w:t>The second finding indicates that insufficient interaction is a common limitation among existing digital heritage initiatives. Although digital platforms improve public accessibility, many projects offer limited opportunities for users to actively experience, learn, or participate in traditional craftsmanship.</w:t>
      </w:r>
    </w:p>
    <w:p w14:paraId="64DD0E99">
      <w:pPr>
        <w:bidi w:val="0"/>
        <w:ind w:firstLine="480" w:firstLineChars="200"/>
        <w:rPr>
          <w:rFonts w:hint="default"/>
          <w:lang w:val="en-US" w:eastAsia="zh-CN"/>
        </w:rPr>
      </w:pPr>
      <w:r>
        <w:rPr>
          <w:rFonts w:hint="default"/>
          <w:lang w:val="en-US" w:eastAsia="zh-CN"/>
        </w:rPr>
        <w:t>Finding 3: Community participation remains insufficient</w:t>
      </w:r>
    </w:p>
    <w:p w14:paraId="0FCA9D3E">
      <w:pPr>
        <w:bidi w:val="0"/>
        <w:ind w:firstLine="480" w:firstLineChars="200"/>
        <w:rPr>
          <w:rFonts w:hint="default"/>
          <w:lang w:val="en-US" w:eastAsia="zh-CN"/>
        </w:rPr>
      </w:pPr>
      <w:r>
        <w:rPr>
          <w:rFonts w:hint="default"/>
          <w:lang w:val="en-US" w:eastAsia="zh-CN"/>
        </w:rPr>
        <w:t>The third finding is that technological applications are often disconnected from the communities and practitioners who sustain cultural authenticity. Without continuous involvement from artisans, educational institutions, and local communities, digital preservation may fail to achieve sustainable cultural transmission</w:t>
      </w:r>
      <w:r>
        <w:rPr>
          <w:rFonts w:hint="default"/>
          <w:lang w:val="en-US" w:eastAsia="zh-CN"/>
        </w:rPr>
        <w:fldChar w:fldCharType="begin"/>
      </w:r>
      <w:r>
        <w:rPr>
          <w:rFonts w:hint="default"/>
          <w:lang w:val="en-US" w:eastAsia="zh-CN"/>
        </w:rPr>
        <w:instrText xml:space="preserve"> REF _Ref28169 \r \h </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default"/>
          <w:lang w:val="en-US" w:eastAsia="zh-CN"/>
        </w:rPr>
        <w:t>.</w:t>
      </w:r>
    </w:p>
    <w:p w14:paraId="6383D606">
      <w:pPr>
        <w:bidi w:val="0"/>
        <w:ind w:firstLine="480" w:firstLineChars="200"/>
        <w:rPr>
          <w:rFonts w:hint="default"/>
          <w:lang w:val="en-US" w:eastAsia="zh-CN"/>
        </w:rPr>
      </w:pPr>
      <w:r>
        <w:rPr>
          <w:rFonts w:hint="default"/>
          <w:lang w:val="en-US" w:eastAsia="zh-CN"/>
        </w:rPr>
        <w:t>Overall, the comparative analysis suggests that future digital heritage preservation should move beyond information storage and toward a more interactive, participatory, and sustainable transmission model</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9,10</w:t>
      </w:r>
      <w:r>
        <w:rPr>
          <w:rFonts w:hint="default"/>
          <w:lang w:val="en-US" w:eastAsia="zh-CN"/>
        </w:rPr>
        <w:t>]</w:t>
      </w:r>
      <w:r>
        <w:rPr>
          <w:rFonts w:hint="default"/>
          <w:lang w:val="en-US" w:eastAsia="zh-CN"/>
        </w:rPr>
        <w:fldChar w:fldCharType="end"/>
      </w:r>
      <w:r>
        <w:rPr>
          <w:rFonts w:hint="default"/>
          <w:lang w:val="en-US" w:eastAsia="zh-CN"/>
        </w:rPr>
        <w:t>.</w:t>
      </w:r>
    </w:p>
    <w:p w14:paraId="3628A5DC">
      <w:pPr>
        <w:pStyle w:val="3"/>
        <w:bidi w:val="0"/>
        <w:rPr>
          <w:rFonts w:hint="eastAsia"/>
          <w:lang w:val="en-US" w:eastAsia="zh-CN"/>
        </w:rPr>
      </w:pPr>
      <w:bookmarkStart w:id="33" w:name="_Toc2138"/>
      <w:r>
        <w:rPr>
          <w:rFonts w:hint="eastAsia"/>
          <w:lang w:val="en-US" w:eastAsia="zh-CN"/>
        </w:rPr>
        <w:t>3</w:t>
      </w:r>
      <w:r>
        <w:rPr>
          <w:rFonts w:hint="default"/>
          <w:lang w:val="en-US" w:eastAsia="zh-CN"/>
        </w:rPr>
        <w:t>.2</w:t>
      </w:r>
      <w:r>
        <w:rPr>
          <w:rFonts w:hint="eastAsia"/>
          <w:lang w:val="en-US" w:eastAsia="zh-CN"/>
        </w:rPr>
        <w:t xml:space="preserve"> Findings from the Nanjing Yunjin Brocade Case Study</w:t>
      </w:r>
      <w:bookmarkEnd w:id="33"/>
    </w:p>
    <w:p w14:paraId="5DF9DEDE">
      <w:pPr>
        <w:bidi w:val="0"/>
        <w:ind w:firstLine="480" w:firstLineChars="200"/>
        <w:rPr>
          <w:rFonts w:hint="default"/>
          <w:lang w:val="en-US" w:eastAsia="zh-CN"/>
        </w:rPr>
      </w:pPr>
      <w:r>
        <w:rPr>
          <w:rFonts w:hint="default"/>
          <w:lang w:val="en-US" w:eastAsia="zh-CN"/>
        </w:rPr>
        <w:t>The case study of Nanjing Yunjin brocade further illustrates the limitations identified in international digital heritage practices and reveals several specific challenges in traditional craft transmission.</w:t>
      </w:r>
    </w:p>
    <w:p w14:paraId="7FFD274A">
      <w:pPr>
        <w:bidi w:val="0"/>
        <w:ind w:firstLine="480" w:firstLineChars="200"/>
        <w:rPr>
          <w:rFonts w:hint="default"/>
          <w:lang w:val="en-US" w:eastAsia="zh-CN"/>
        </w:rPr>
      </w:pPr>
      <w:r>
        <w:rPr>
          <w:rFonts w:hint="default"/>
          <w:lang w:val="en-US" w:eastAsia="zh-CN"/>
        </w:rPr>
        <w:t>Finding 4: Complexity of craftsmanship creates barriers to transmission</w:t>
      </w:r>
    </w:p>
    <w:p w14:paraId="7444866E">
      <w:pPr>
        <w:bidi w:val="0"/>
        <w:ind w:firstLine="480" w:firstLineChars="200"/>
        <w:rPr>
          <w:rFonts w:hint="default"/>
          <w:lang w:val="en-US" w:eastAsia="zh-CN"/>
        </w:rPr>
      </w:pPr>
      <w:r>
        <w:rPr>
          <w:rFonts w:hint="default"/>
          <w:lang w:val="en-US" w:eastAsia="zh-CN"/>
        </w:rPr>
        <w:t>Nanjing Yunjin brocade involves highly complex weaving techniques that require long-term apprenticeship and practical experience. This makes traditional transmission difficult, especially as younger generations have limited time and motivation for lengthy learning processes.</w:t>
      </w:r>
    </w:p>
    <w:p w14:paraId="1F707DF8">
      <w:pPr>
        <w:bidi w:val="0"/>
        <w:ind w:firstLine="480" w:firstLineChars="200"/>
        <w:rPr>
          <w:rFonts w:hint="default"/>
          <w:lang w:val="en-US" w:eastAsia="zh-CN"/>
        </w:rPr>
      </w:pPr>
      <w:r>
        <w:rPr>
          <w:rFonts w:hint="default"/>
          <w:lang w:val="en-US" w:eastAsia="zh-CN"/>
        </w:rPr>
        <w:t>Finding 5: Existing preservation methods lack immersive learning experiences</w:t>
      </w:r>
    </w:p>
    <w:p w14:paraId="13ECB372">
      <w:pPr>
        <w:bidi w:val="0"/>
        <w:ind w:firstLine="480" w:firstLineChars="200"/>
        <w:rPr>
          <w:rFonts w:hint="default"/>
          <w:lang w:val="en-US" w:eastAsia="zh-CN"/>
        </w:rPr>
      </w:pPr>
      <w:r>
        <w:rPr>
          <w:rFonts w:hint="default"/>
          <w:lang w:val="en-US" w:eastAsia="zh-CN"/>
        </w:rPr>
        <w:t>Current preservation practices for Nanjing Yunjin mainly emphasize exhibition and documentation. While these approaches successfully maintain historical and technical information, they offer limited opportunities for audiences to experience the craftsmanship process directly</w:t>
      </w:r>
      <w:r>
        <w:rPr>
          <w:rFonts w:hint="default"/>
          <w:lang w:val="en-US" w:eastAsia="zh-CN"/>
        </w:rPr>
        <w:fldChar w:fldCharType="begin"/>
      </w:r>
      <w:r>
        <w:rPr>
          <w:rFonts w:hint="default"/>
          <w:lang w:val="en-US" w:eastAsia="zh-CN"/>
        </w:rPr>
        <w:instrText xml:space="preserve"> REF _Ref31667 \r \h </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p>
    <w:p w14:paraId="4CC34675">
      <w:pPr>
        <w:bidi w:val="0"/>
        <w:ind w:firstLine="480" w:firstLineChars="200"/>
        <w:rPr>
          <w:rFonts w:hint="default"/>
          <w:lang w:val="en-US" w:eastAsia="zh-CN"/>
        </w:rPr>
      </w:pPr>
      <w:r>
        <w:rPr>
          <w:rFonts w:hint="default"/>
          <w:lang w:val="en-US" w:eastAsia="zh-CN"/>
        </w:rPr>
        <w:t>Finding 6: Youth participation requires new forms of cultural interaction</w:t>
      </w:r>
    </w:p>
    <w:p w14:paraId="0238A57B">
      <w:pPr>
        <w:bidi w:val="0"/>
        <w:ind w:firstLine="480" w:firstLineChars="200"/>
        <w:rPr>
          <w:rFonts w:hint="default"/>
          <w:lang w:val="en-US" w:eastAsia="zh-CN"/>
        </w:rPr>
      </w:pPr>
      <w:r>
        <w:rPr>
          <w:rFonts w:hint="default"/>
          <w:lang w:val="en-US" w:eastAsia="zh-CN"/>
        </w:rPr>
        <w:t>The case study indicates that attracting younger generations requires transforming traditional craftsmanship into an interactive cultural experience rather than simply presenting historical information</w:t>
      </w:r>
      <w:r>
        <w:rPr>
          <w:rFonts w:hint="default"/>
          <w:lang w:val="en-US" w:eastAsia="zh-CN"/>
        </w:rPr>
        <w:fldChar w:fldCharType="begin"/>
      </w:r>
      <w:r>
        <w:rPr>
          <w:rFonts w:hint="default"/>
          <w:lang w:val="en-US" w:eastAsia="zh-CN"/>
        </w:rPr>
        <w:instrText xml:space="preserve"> REF _Ref27852 \r \h </w:instrText>
      </w:r>
      <w:r>
        <w:rPr>
          <w:rFonts w:hint="default"/>
          <w:lang w:val="en-US" w:eastAsia="zh-CN"/>
        </w:rPr>
        <w:fldChar w:fldCharType="separate"/>
      </w:r>
      <w:r>
        <w:rPr>
          <w:rFonts w:hint="default"/>
          <w:lang w:val="en-US" w:eastAsia="zh-CN"/>
        </w:rPr>
        <w:t>[</w:t>
      </w:r>
      <w:r>
        <w:rPr>
          <w:rFonts w:hint="eastAsia"/>
          <w:lang w:val="en-US" w:eastAsia="zh-CN"/>
        </w:rPr>
        <w:t>23</w:t>
      </w:r>
      <w:r>
        <w:rPr>
          <w:rFonts w:hint="default"/>
          <w:lang w:val="en-US" w:eastAsia="zh-CN"/>
        </w:rPr>
        <w:t>]</w:t>
      </w:r>
      <w:r>
        <w:rPr>
          <w:rFonts w:hint="default"/>
          <w:lang w:val="en-US" w:eastAsia="zh-CN"/>
        </w:rPr>
        <w:fldChar w:fldCharType="end"/>
      </w:r>
      <w:r>
        <w:rPr>
          <w:rFonts w:hint="default"/>
          <w:lang w:val="en-US" w:eastAsia="zh-CN"/>
        </w:rPr>
        <w:t>.</w:t>
      </w:r>
    </w:p>
    <w:p w14:paraId="59D05D79">
      <w:pPr>
        <w:pStyle w:val="3"/>
        <w:bidi w:val="0"/>
        <w:rPr>
          <w:rFonts w:hint="eastAsia"/>
          <w:lang w:val="en-US" w:eastAsia="zh-CN"/>
        </w:rPr>
      </w:pPr>
      <w:bookmarkStart w:id="34" w:name="_Toc6953"/>
      <w:r>
        <w:rPr>
          <w:rFonts w:hint="eastAsia"/>
          <w:lang w:val="en-US" w:eastAsia="zh-CN"/>
        </w:rPr>
        <w:t>3</w:t>
      </w:r>
      <w:r>
        <w:rPr>
          <w:rFonts w:hint="default"/>
          <w:lang w:val="en-US" w:eastAsia="zh-CN"/>
        </w:rPr>
        <w:t>.3</w:t>
      </w:r>
      <w:r>
        <w:rPr>
          <w:rFonts w:hint="eastAsia"/>
          <w:lang w:val="en-US" w:eastAsia="zh-CN"/>
        </w:rPr>
        <w:t xml:space="preserve"> Requirements Identified for Sustainable Heritage Transmission</w:t>
      </w:r>
      <w:bookmarkEnd w:id="34"/>
    </w:p>
    <w:p w14:paraId="707504DB">
      <w:pPr>
        <w:bidi w:val="0"/>
        <w:ind w:firstLine="480" w:firstLineChars="200"/>
        <w:rPr>
          <w:rFonts w:hint="default"/>
          <w:lang w:val="en-US" w:eastAsia="zh-CN"/>
        </w:rPr>
      </w:pPr>
      <w:r>
        <w:rPr>
          <w:rFonts w:hint="default"/>
          <w:lang w:val="en-US" w:eastAsia="zh-CN"/>
        </w:rPr>
        <w:t>Based on the findings from the comparative analysis and the case study, four essential requirements for sustainable intangible cultural heritage transmission were identified.</w:t>
      </w:r>
    </w:p>
    <w:p w14:paraId="1852C667">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default" w:ascii="Times New Roman" w:hAnsi="Times New Roman" w:cs="Times New Roman"/>
          <w:b/>
          <w:bCs/>
          <w:sz w:val="24"/>
          <w:szCs w:val="24"/>
        </w:rPr>
      </w:pPr>
    </w:p>
    <w:p w14:paraId="28E8D411">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default" w:ascii="Times New Roman" w:hAnsi="Times New Roman" w:cs="Times New Roman"/>
          <w:b/>
          <w:bCs/>
          <w:sz w:val="24"/>
          <w:szCs w:val="24"/>
        </w:rPr>
      </w:pPr>
    </w:p>
    <w:p w14:paraId="040F39E6">
      <w:pPr>
        <w:pStyle w:val="5"/>
        <w:keepNext w:val="0"/>
        <w:keepLines w:val="0"/>
        <w:pageBreakBefore w:val="0"/>
        <w:widowControl w:val="0"/>
        <w:kinsoku/>
        <w:wordWrap/>
        <w:overflowPunct/>
        <w:topLinePunct w:val="0"/>
        <w:autoSpaceDE/>
        <w:autoSpaceDN/>
        <w:bidi w:val="0"/>
        <w:adjustRightInd/>
        <w:snapToGrid/>
        <w:spacing w:after="0" w:afterLines="0"/>
        <w:textAlignment w:val="auto"/>
        <w:rPr>
          <w:rFonts w:hint="eastAsia" w:ascii="Times New Roman" w:hAnsi="Times New Roman" w:eastAsia="黑体" w:cs="Times New Roman"/>
          <w:b/>
          <w:bCs/>
          <w:sz w:val="24"/>
          <w:szCs w:val="24"/>
          <w:lang w:val="en-US" w:eastAsia="zh-CN"/>
        </w:rPr>
      </w:pPr>
      <w:r>
        <w:rPr>
          <w:rFonts w:hint="default" w:ascii="Times New Roman" w:hAnsi="Times New Roman" w:cs="Times New Roman"/>
          <w:b/>
          <w:bCs/>
          <w:sz w:val="24"/>
          <w:szCs w:val="24"/>
        </w:rPr>
        <w:t xml:space="preserve">Table </w:t>
      </w:r>
      <w:r>
        <w:rPr>
          <w:rFonts w:hint="eastAsia" w:cs="Times New Roman"/>
          <w:b/>
          <w:bCs/>
          <w:sz w:val="24"/>
          <w:szCs w:val="24"/>
          <w:lang w:val="en-US" w:eastAsia="zh-CN"/>
        </w:rPr>
        <w:t>6</w:t>
      </w:r>
    </w:p>
    <w:p w14:paraId="2969DAC4">
      <w:pPr>
        <w:keepNext w:val="0"/>
        <w:keepLines w:val="0"/>
        <w:pageBreakBefore w:val="0"/>
        <w:widowControl w:val="0"/>
        <w:kinsoku/>
        <w:wordWrap/>
        <w:overflowPunct/>
        <w:topLinePunct w:val="0"/>
        <w:autoSpaceDE/>
        <w:autoSpaceDN/>
        <w:bidi w:val="0"/>
        <w:adjustRightInd/>
        <w:snapToGrid/>
        <w:spacing w:before="0" w:beforeLines="0"/>
        <w:textAlignment w:val="auto"/>
      </w:pPr>
      <w:r>
        <w:rPr>
          <w:rFonts w:hint="eastAsia" w:cs="Times New Roman"/>
          <w:b w:val="0"/>
          <w:bCs w:val="0"/>
          <w:i/>
          <w:iCs/>
          <w:sz w:val="24"/>
          <w:szCs w:val="24"/>
          <w:lang w:val="en-US" w:eastAsia="zh-CN"/>
        </w:rPr>
        <w:t xml:space="preserve">Core requirements for sustainable inheritance of </w:t>
      </w:r>
      <w:r>
        <w:rPr>
          <w:rFonts w:hint="default" w:cs="Times New Roman"/>
          <w:b w:val="0"/>
          <w:bCs w:val="0"/>
          <w:i/>
          <w:iCs/>
          <w:sz w:val="24"/>
          <w:szCs w:val="24"/>
          <w:lang w:val="en-US" w:eastAsia="zh-CN"/>
        </w:rPr>
        <w:t>intangible cultural heritage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E41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12" w:space="0"/>
              <w:left w:val="nil"/>
              <w:bottom w:val="single" w:color="000000" w:sz="4" w:space="0"/>
              <w:right w:val="nil"/>
              <w:tl2br w:val="nil"/>
            </w:tcBorders>
            <w:shd w:val="clear" w:color="auto" w:fill="FFFFFF"/>
          </w:tcPr>
          <w:p w14:paraId="3AAC3C6F">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Requirement</w:t>
            </w:r>
          </w:p>
        </w:tc>
        <w:tc>
          <w:tcPr>
            <w:tcW w:w="4621" w:type="dxa"/>
            <w:tcBorders>
              <w:top w:val="single" w:color="000000" w:sz="12" w:space="0"/>
              <w:left w:val="nil"/>
              <w:bottom w:val="single" w:color="000000" w:sz="4" w:space="0"/>
              <w:right w:val="nil"/>
            </w:tcBorders>
            <w:shd w:val="clear" w:color="auto" w:fill="FFFFFF"/>
          </w:tcPr>
          <w:p w14:paraId="545E3924">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Purpose</w:t>
            </w:r>
          </w:p>
        </w:tc>
      </w:tr>
      <w:tr w14:paraId="57B3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single" w:color="000000" w:sz="4" w:space="0"/>
              <w:left w:val="nil"/>
              <w:bottom w:val="nil"/>
              <w:right w:val="nil"/>
            </w:tcBorders>
            <w:shd w:val="clear" w:color="auto" w:fill="FFFFFF"/>
          </w:tcPr>
          <w:p w14:paraId="4D5FD650">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Accurate digital representation</w:t>
            </w:r>
          </w:p>
        </w:tc>
        <w:tc>
          <w:tcPr>
            <w:tcW w:w="4621" w:type="dxa"/>
            <w:tcBorders>
              <w:top w:val="single" w:color="000000" w:sz="4" w:space="0"/>
              <w:left w:val="nil"/>
              <w:bottom w:val="nil"/>
              <w:right w:val="nil"/>
            </w:tcBorders>
            <w:shd w:val="clear" w:color="auto" w:fill="FFFFFF"/>
          </w:tcPr>
          <w:p w14:paraId="590C20D0">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Preserve authentic craftsmanship knowledge</w:t>
            </w:r>
          </w:p>
        </w:tc>
      </w:tr>
      <w:tr w14:paraId="33AA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nil"/>
              <w:left w:val="nil"/>
              <w:bottom w:val="nil"/>
              <w:right w:val="nil"/>
            </w:tcBorders>
            <w:shd w:val="clear" w:color="auto" w:fill="FFFFFF"/>
          </w:tcPr>
          <w:p w14:paraId="64A53D89">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Interactive learning experience</w:t>
            </w:r>
          </w:p>
        </w:tc>
        <w:tc>
          <w:tcPr>
            <w:tcW w:w="4621" w:type="dxa"/>
            <w:tcBorders>
              <w:top w:val="nil"/>
              <w:left w:val="nil"/>
              <w:bottom w:val="nil"/>
              <w:right w:val="nil"/>
            </w:tcBorders>
            <w:shd w:val="clear" w:color="auto" w:fill="FFFFFF"/>
          </w:tcPr>
          <w:p w14:paraId="402C64B3">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Increase youth engagement</w:t>
            </w:r>
          </w:p>
        </w:tc>
      </w:tr>
      <w:tr w14:paraId="2F0A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nil"/>
              <w:left w:val="nil"/>
              <w:bottom w:val="nil"/>
              <w:right w:val="nil"/>
            </w:tcBorders>
            <w:shd w:val="clear" w:color="auto" w:fill="FFFFFF"/>
          </w:tcPr>
          <w:p w14:paraId="153041CC">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Integration of multiple technologies</w:t>
            </w:r>
          </w:p>
        </w:tc>
        <w:tc>
          <w:tcPr>
            <w:tcW w:w="4621" w:type="dxa"/>
            <w:tcBorders>
              <w:top w:val="nil"/>
              <w:left w:val="nil"/>
              <w:bottom w:val="nil"/>
              <w:right w:val="nil"/>
            </w:tcBorders>
            <w:shd w:val="clear" w:color="auto" w:fill="FFFFFF"/>
          </w:tcPr>
          <w:p w14:paraId="2ACCB7F7">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Improve cultural communication</w:t>
            </w:r>
          </w:p>
        </w:tc>
      </w:tr>
      <w:tr w14:paraId="4640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Borders>
              <w:top w:val="nil"/>
              <w:left w:val="nil"/>
              <w:bottom w:val="single" w:color="000000" w:sz="12" w:space="0"/>
              <w:right w:val="nil"/>
            </w:tcBorders>
            <w:shd w:val="clear" w:color="auto" w:fill="FFFFFF"/>
          </w:tcPr>
          <w:p w14:paraId="419CA47E">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Community participation</w:t>
            </w:r>
          </w:p>
        </w:tc>
        <w:tc>
          <w:tcPr>
            <w:tcW w:w="4621" w:type="dxa"/>
            <w:tcBorders>
              <w:top w:val="nil"/>
              <w:left w:val="nil"/>
              <w:bottom w:val="single" w:color="000000" w:sz="12" w:space="0"/>
              <w:right w:val="nil"/>
            </w:tcBorders>
            <w:shd w:val="clear" w:color="auto" w:fill="FFFFFF"/>
          </w:tcPr>
          <w:p w14:paraId="1783F877">
            <w:pPr>
              <w:numPr>
                <w:ilvl w:val="0"/>
                <w:numId w:val="0"/>
              </w:numPr>
              <w:bidi w:val="0"/>
              <w:rPr>
                <w:rFonts w:hint="default"/>
                <w:b w:val="0"/>
                <w:color w:val="000000"/>
                <w:sz w:val="21"/>
                <w:szCs w:val="21"/>
                <w:vertAlign w:val="baseline"/>
                <w:lang w:val="en-US" w:eastAsia="zh-CN"/>
              </w:rPr>
            </w:pPr>
            <w:r>
              <w:rPr>
                <w:rFonts w:hint="default"/>
                <w:b w:val="0"/>
                <w:color w:val="000000"/>
                <w:sz w:val="21"/>
                <w:szCs w:val="21"/>
                <w:vertAlign w:val="baseline"/>
                <w:lang w:val="en-US" w:eastAsia="zh-CN"/>
              </w:rPr>
              <w:t>Maintain cultural authenticity</w:t>
            </w:r>
          </w:p>
        </w:tc>
      </w:tr>
    </w:tbl>
    <w:p w14:paraId="7540E9B0">
      <w:pPr>
        <w:bidi w:val="0"/>
        <w:ind w:firstLine="480" w:firstLineChars="200"/>
        <w:rPr>
          <w:rFonts w:hint="default"/>
          <w:lang w:val="en-US" w:eastAsia="zh-CN"/>
        </w:rPr>
      </w:pPr>
      <w:r>
        <w:rPr>
          <w:rFonts w:hint="default"/>
          <w:lang w:val="en-US" w:eastAsia="zh-CN"/>
        </w:rPr>
        <w:t xml:space="preserve">These requirements form the foundation for the Digital Heritage Ecosystem </w:t>
      </w:r>
      <w:r>
        <w:rPr>
          <w:rFonts w:hint="eastAsia"/>
          <w:lang w:val="en-US" w:eastAsia="zh-CN"/>
        </w:rPr>
        <w:t>presented in Section 2.4.</w:t>
      </w:r>
    </w:p>
    <w:p w14:paraId="23DE8E49">
      <w:pPr>
        <w:rPr>
          <w:rFonts w:hint="default"/>
          <w:lang w:val="en-US" w:eastAsia="zh-CN"/>
        </w:rPr>
      </w:pPr>
      <w:r>
        <w:rPr>
          <w:rFonts w:hint="default"/>
          <w:lang w:val="en-US" w:eastAsia="zh-CN"/>
        </w:rPr>
        <w:br w:type="page"/>
      </w:r>
    </w:p>
    <w:p w14:paraId="7156BA5B">
      <w:pPr>
        <w:pStyle w:val="2"/>
        <w:bidi w:val="0"/>
        <w:jc w:val="center"/>
        <w:rPr>
          <w:rFonts w:hint="default"/>
          <w:lang w:val="en-US" w:eastAsia="zh-CN"/>
        </w:rPr>
      </w:pPr>
      <w:bookmarkStart w:id="35" w:name="_Toc4874"/>
      <w:r>
        <w:rPr>
          <w:rFonts w:hint="eastAsia"/>
          <w:lang w:val="en-US" w:eastAsia="zh-CN"/>
        </w:rPr>
        <w:t>4</w:t>
      </w:r>
      <w:r>
        <w:rPr>
          <w:rFonts w:hint="default"/>
          <w:lang w:val="en-US" w:eastAsia="zh-CN"/>
        </w:rPr>
        <w:t>.</w:t>
      </w:r>
      <w:r>
        <w:rPr>
          <w:rFonts w:hint="eastAsia"/>
          <w:lang w:val="en-US" w:eastAsia="zh-CN"/>
        </w:rPr>
        <w:t xml:space="preserve"> Discussion</w:t>
      </w:r>
      <w:bookmarkEnd w:id="35"/>
    </w:p>
    <w:p w14:paraId="557D6007">
      <w:pPr>
        <w:pStyle w:val="3"/>
        <w:bidi w:val="0"/>
        <w:rPr>
          <w:rFonts w:hint="default"/>
          <w:lang w:val="en-US" w:eastAsia="zh-CN"/>
        </w:rPr>
      </w:pPr>
      <w:bookmarkStart w:id="36" w:name="_Toc31792"/>
      <w:r>
        <w:rPr>
          <w:rFonts w:hint="eastAsia"/>
          <w:lang w:val="en-US" w:eastAsia="zh-CN"/>
        </w:rPr>
        <w:t>4</w:t>
      </w:r>
      <w:r>
        <w:rPr>
          <w:rFonts w:hint="default"/>
          <w:lang w:val="en-US" w:eastAsia="zh-CN"/>
        </w:rPr>
        <w:t>.1</w:t>
      </w:r>
      <w:r>
        <w:rPr>
          <w:rFonts w:hint="eastAsia"/>
          <w:lang w:val="en-US" w:eastAsia="zh-CN"/>
        </w:rPr>
        <w:t xml:space="preserve"> </w:t>
      </w:r>
      <w:r>
        <w:rPr>
          <w:rFonts w:hint="default"/>
          <w:lang w:val="en-US" w:eastAsia="zh-CN"/>
        </w:rPr>
        <w:t>Interpretation of Research Findings</w:t>
      </w:r>
      <w:bookmarkEnd w:id="36"/>
    </w:p>
    <w:p w14:paraId="2B4634CB">
      <w:pPr>
        <w:bidi w:val="0"/>
        <w:ind w:firstLine="480" w:firstLineChars="200"/>
        <w:rPr>
          <w:rFonts w:hint="default"/>
          <w:lang w:val="en-US" w:eastAsia="zh-CN"/>
        </w:rPr>
      </w:pPr>
      <w:r>
        <w:rPr>
          <w:rFonts w:hint="default"/>
          <w:lang w:val="en-US" w:eastAsia="zh-CN"/>
        </w:rPr>
        <w:t>The findings of this study suggest that the major challenge facing intangible cultural heritage preservation is no longer simply the lack of digital documentation, but the difficulty of transforming preserved knowledge into an actively transmitted cultural experience</w:t>
      </w:r>
      <w:r>
        <w:rPr>
          <w:rFonts w:hint="default"/>
          <w:lang w:val="en-US" w:eastAsia="zh-CN"/>
        </w:rPr>
        <w:fldChar w:fldCharType="begin"/>
      </w:r>
      <w:r>
        <w:rPr>
          <w:rFonts w:hint="default"/>
          <w:lang w:val="en-US" w:eastAsia="zh-CN"/>
        </w:rPr>
        <w:instrText xml:space="preserve"> REF _Ref29662 \r \h </w:instrText>
      </w:r>
      <w:r>
        <w:rPr>
          <w:rFonts w:hint="default"/>
          <w:lang w:val="en-US" w:eastAsia="zh-CN"/>
        </w:rPr>
        <w:fldChar w:fldCharType="separate"/>
      </w:r>
      <w:r>
        <w:rPr>
          <w:rFonts w:hint="eastAsia"/>
          <w:lang w:val="en-US" w:eastAsia="zh-CN"/>
        </w:rPr>
        <w:t>[8,9]</w:t>
      </w:r>
      <w:r>
        <w:rPr>
          <w:rFonts w:hint="default"/>
          <w:lang w:val="en-US" w:eastAsia="zh-CN"/>
        </w:rPr>
        <w:fldChar w:fldCharType="end"/>
      </w:r>
      <w:r>
        <w:rPr>
          <w:rFonts w:hint="default"/>
          <w:lang w:val="en-US" w:eastAsia="zh-CN"/>
        </w:rPr>
        <w:t>.</w:t>
      </w:r>
    </w:p>
    <w:p w14:paraId="6CB6919B">
      <w:pPr>
        <w:bidi w:val="0"/>
        <w:ind w:firstLine="480" w:firstLineChars="200"/>
        <w:rPr>
          <w:rFonts w:hint="default"/>
          <w:lang w:val="en-US" w:eastAsia="zh-CN"/>
        </w:rPr>
      </w:pPr>
      <w:r>
        <w:rPr>
          <w:rFonts w:hint="default"/>
          <w:lang w:val="en-US" w:eastAsia="zh-CN"/>
        </w:rPr>
        <w:t>While digital technologies provide powerful tools for recording and presenting intangible cultural heritage, this study argues that technology alone cannot guarantee sustainable transmission. The effectiveness of digital transformation depends on whether it creates meaningful interaction between heritage, practitioners, and audiences.</w:t>
      </w:r>
    </w:p>
    <w:p w14:paraId="1AEC4E18">
      <w:pPr>
        <w:bidi w:val="0"/>
        <w:ind w:firstLine="480" w:firstLineChars="200"/>
        <w:rPr>
          <w:rFonts w:hint="default"/>
          <w:lang w:val="en-US" w:eastAsia="zh-CN"/>
        </w:rPr>
      </w:pPr>
      <w:r>
        <w:rPr>
          <w:rFonts w:hint="default"/>
          <w:lang w:val="en-US" w:eastAsia="zh-CN"/>
        </w:rPr>
        <w:t>The findings further highlight that youth engagement should be treated as a central component of heritage preservation rather than an additional objective. By transforming traditional craftsmanship into interactive learning experiences, digital platforms may narrow the distance between younger generations and traditional culture</w:t>
      </w:r>
      <w:r>
        <w:rPr>
          <w:rFonts w:hint="default"/>
          <w:lang w:val="en-US" w:eastAsia="zh-CN"/>
        </w:rPr>
        <w:fldChar w:fldCharType="begin"/>
      </w:r>
      <w:r>
        <w:rPr>
          <w:rFonts w:hint="default"/>
          <w:lang w:val="en-US" w:eastAsia="zh-CN"/>
        </w:rPr>
        <w:instrText xml:space="preserve"> REF _Ref28672 \r \h </w:instrText>
      </w:r>
      <w:r>
        <w:rPr>
          <w:rFonts w:hint="default"/>
          <w:lang w:val="en-US" w:eastAsia="zh-CN"/>
        </w:rPr>
        <w:fldChar w:fldCharType="separate"/>
      </w:r>
      <w:r>
        <w:rPr>
          <w:rFonts w:hint="default"/>
          <w:lang w:val="en-US" w:eastAsia="zh-CN"/>
        </w:rPr>
        <w:t>[10</w:t>
      </w:r>
      <w:r>
        <w:rPr>
          <w:rFonts w:hint="eastAsia"/>
          <w:lang w:val="en-US" w:eastAsia="zh-CN"/>
        </w:rPr>
        <w:t>,13</w:t>
      </w:r>
      <w:r>
        <w:rPr>
          <w:rFonts w:hint="default"/>
          <w:lang w:val="en-US" w:eastAsia="zh-CN"/>
        </w:rPr>
        <w:t>]</w:t>
      </w:r>
      <w:r>
        <w:rPr>
          <w:rFonts w:hint="default"/>
          <w:lang w:val="en-US" w:eastAsia="zh-CN"/>
        </w:rPr>
        <w:fldChar w:fldCharType="end"/>
      </w:r>
      <w:r>
        <w:rPr>
          <w:rFonts w:hint="default"/>
          <w:lang w:val="en-US" w:eastAsia="zh-CN"/>
        </w:rPr>
        <w:t>.</w:t>
      </w:r>
    </w:p>
    <w:p w14:paraId="7FCEC8ED">
      <w:pPr>
        <w:bidi w:val="0"/>
        <w:ind w:firstLine="480" w:firstLineChars="200"/>
        <w:rPr>
          <w:rFonts w:hint="default"/>
          <w:lang w:val="en-US" w:eastAsia="zh-CN"/>
        </w:rPr>
      </w:pPr>
      <w:r>
        <w:rPr>
          <w:rFonts w:hint="default"/>
          <w:lang w:val="en-US" w:eastAsia="zh-CN"/>
        </w:rPr>
        <w:t>This study therefore proposes that future heritage preservation should shift from a preservation-centered model toward an ecosystem-based approach, in which technology, communities, and cultural practitioners jointly contribute to continuous transmission.</w:t>
      </w:r>
    </w:p>
    <w:p w14:paraId="389A90F5">
      <w:pPr>
        <w:pStyle w:val="3"/>
        <w:bidi w:val="0"/>
        <w:rPr>
          <w:rFonts w:hint="default"/>
          <w:lang w:val="en-US" w:eastAsia="zh-CN"/>
        </w:rPr>
      </w:pPr>
      <w:bookmarkStart w:id="37" w:name="_Toc26960"/>
      <w:r>
        <w:rPr>
          <w:rFonts w:hint="eastAsia"/>
          <w:lang w:val="en-US" w:eastAsia="zh-CN"/>
        </w:rPr>
        <w:t>4</w:t>
      </w:r>
      <w:r>
        <w:rPr>
          <w:rFonts w:hint="default"/>
          <w:lang w:val="en-US" w:eastAsia="zh-CN"/>
        </w:rPr>
        <w:t>.2</w:t>
      </w:r>
      <w:r>
        <w:rPr>
          <w:rFonts w:hint="eastAsia"/>
          <w:lang w:val="en-US" w:eastAsia="zh-CN"/>
        </w:rPr>
        <w:t xml:space="preserve"> </w:t>
      </w:r>
      <w:r>
        <w:rPr>
          <w:rFonts w:hint="default"/>
          <w:lang w:val="en-US" w:eastAsia="zh-CN"/>
        </w:rPr>
        <w:t>Response to Research Questions</w:t>
      </w:r>
      <w:bookmarkEnd w:id="37"/>
    </w:p>
    <w:p w14:paraId="43EF0E80">
      <w:pPr>
        <w:bidi w:val="0"/>
        <w:ind w:firstLine="480" w:firstLineChars="200"/>
        <w:rPr>
          <w:rFonts w:hint="default"/>
          <w:lang w:val="en-US" w:eastAsia="zh-CN"/>
        </w:rPr>
      </w:pPr>
      <w:r>
        <w:rPr>
          <w:rFonts w:hint="default"/>
          <w:lang w:val="en-US" w:eastAsia="zh-CN"/>
        </w:rPr>
        <w:t>RQ1:How can emerging digital technologies contribute to sustainable transmission?</w:t>
      </w:r>
    </w:p>
    <w:p w14:paraId="2065A980">
      <w:pPr>
        <w:bidi w:val="0"/>
        <w:ind w:firstLine="480" w:firstLineChars="200"/>
        <w:rPr>
          <w:rFonts w:hint="default"/>
          <w:lang w:val="en-US" w:eastAsia="zh-CN"/>
        </w:rPr>
      </w:pPr>
      <w:r>
        <w:rPr>
          <w:rFonts w:hint="default"/>
          <w:lang w:val="en-US" w:eastAsia="zh-CN"/>
        </w:rPr>
        <w:t>Emerging technologies contribute to sustainable transmission by enhancing accessibility, visualization, and interactive learning. However, their greatest value lies not only in digital preservation but also in enabling new forms of cultural participation</w:t>
      </w:r>
      <w:r>
        <w:rPr>
          <w:rFonts w:hint="default"/>
          <w:lang w:val="en-US" w:eastAsia="zh-CN"/>
        </w:rPr>
        <w:fldChar w:fldCharType="begin"/>
      </w:r>
      <w:r>
        <w:rPr>
          <w:rFonts w:hint="default"/>
          <w:lang w:val="en-US" w:eastAsia="zh-CN"/>
        </w:rPr>
        <w:instrText xml:space="preserve"> REF _Ref31667 \r \h </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default"/>
          <w:lang w:val="en-US" w:eastAsia="zh-CN"/>
        </w:rPr>
        <w:t>.</w:t>
      </w:r>
    </w:p>
    <w:p w14:paraId="430D246B">
      <w:pPr>
        <w:bidi w:val="0"/>
        <w:ind w:firstLine="480" w:firstLineChars="200"/>
        <w:rPr>
          <w:rFonts w:hint="default"/>
          <w:lang w:val="en-US" w:eastAsia="zh-CN"/>
        </w:rPr>
      </w:pPr>
      <w:r>
        <w:rPr>
          <w:rFonts w:hint="default"/>
          <w:lang w:val="en-US" w:eastAsia="zh-CN"/>
        </w:rPr>
        <w:t>RQ2:What limitations exist in current digital heritage approaches?</w:t>
      </w:r>
    </w:p>
    <w:p w14:paraId="6533137C">
      <w:pPr>
        <w:bidi w:val="0"/>
        <w:ind w:firstLine="480" w:firstLineChars="200"/>
        <w:rPr>
          <w:rFonts w:hint="default"/>
          <w:lang w:val="en-US" w:eastAsia="zh-CN"/>
        </w:rPr>
      </w:pPr>
      <w:r>
        <w:rPr>
          <w:rFonts w:hint="default"/>
          <w:lang w:val="en-US" w:eastAsia="zh-CN"/>
        </w:rPr>
        <w:t>Current approaches are limited by their emphasis on documentation and display. They often lack mechanisms for active participation, immersive learning, and community-based transmission.</w:t>
      </w:r>
    </w:p>
    <w:p w14:paraId="5BC5A15B">
      <w:pPr>
        <w:bidi w:val="0"/>
        <w:ind w:firstLine="480" w:firstLineChars="200"/>
        <w:rPr>
          <w:rFonts w:hint="default"/>
          <w:lang w:val="en-US" w:eastAsia="zh-CN"/>
        </w:rPr>
      </w:pPr>
    </w:p>
    <w:p w14:paraId="261E9412">
      <w:pPr>
        <w:bidi w:val="0"/>
        <w:ind w:firstLine="480" w:firstLineChars="200"/>
        <w:rPr>
          <w:rFonts w:hint="default"/>
          <w:lang w:val="en-US" w:eastAsia="zh-CN"/>
        </w:rPr>
      </w:pPr>
      <w:r>
        <w:rPr>
          <w:rFonts w:hint="default"/>
          <w:lang w:val="en-US" w:eastAsia="zh-CN"/>
        </w:rPr>
        <w:t>RQ3:How can a Digital Heritage Ecosystem be developed?</w:t>
      </w:r>
    </w:p>
    <w:p w14:paraId="4B9411CC">
      <w:pPr>
        <w:bidi w:val="0"/>
        <w:ind w:firstLine="480" w:firstLineChars="200"/>
        <w:rPr>
          <w:rFonts w:hint="default"/>
          <w:lang w:val="en-US" w:eastAsia="zh-CN"/>
        </w:rPr>
      </w:pPr>
      <w:r>
        <w:rPr>
          <w:rFonts w:hint="default"/>
          <w:lang w:val="en-US" w:eastAsia="zh-CN"/>
        </w:rPr>
        <w:t>This study suggests that a Digital Heritage Ecosystem should integrate artificial intelligence, digital twin technology, immersive learning, and community participation to balance technological innovation with cultural authenticity</w:t>
      </w:r>
      <w:r>
        <w:rPr>
          <w:rFonts w:hint="default"/>
          <w:lang w:val="en-US" w:eastAsia="zh-CN"/>
        </w:rPr>
        <w:fldChar w:fldCharType="begin"/>
      </w:r>
      <w:r>
        <w:rPr>
          <w:rFonts w:hint="default"/>
          <w:lang w:val="en-US" w:eastAsia="zh-CN"/>
        </w:rPr>
        <w:instrText xml:space="preserve"> REF _Ref29965 \r \h </w:instrText>
      </w:r>
      <w:r>
        <w:rPr>
          <w:rFonts w:hint="default"/>
          <w:lang w:val="en-US" w:eastAsia="zh-CN"/>
        </w:rPr>
        <w:fldChar w:fldCharType="separate"/>
      </w:r>
      <w:r>
        <w:rPr>
          <w:rFonts w:hint="default"/>
          <w:lang w:val="en-US" w:eastAsia="zh-CN"/>
        </w:rPr>
        <w:t>[</w:t>
      </w:r>
      <w:r>
        <w:rPr>
          <w:rFonts w:hint="eastAsia"/>
          <w:lang w:val="en-US" w:eastAsia="zh-CN"/>
        </w:rPr>
        <w:t>2,9</w:t>
      </w:r>
      <w:r>
        <w:rPr>
          <w:rFonts w:hint="default"/>
          <w:lang w:val="en-US" w:eastAsia="zh-CN"/>
        </w:rPr>
        <w:t>]</w:t>
      </w:r>
      <w:r>
        <w:rPr>
          <w:rFonts w:hint="default"/>
          <w:lang w:val="en-US" w:eastAsia="zh-CN"/>
        </w:rPr>
        <w:fldChar w:fldCharType="end"/>
      </w:r>
      <w:r>
        <w:rPr>
          <w:rFonts w:hint="default"/>
          <w:lang w:val="en-US" w:eastAsia="zh-CN"/>
        </w:rPr>
        <w:t>.</w:t>
      </w:r>
    </w:p>
    <w:p w14:paraId="2EF5BCFD">
      <w:pPr>
        <w:pStyle w:val="3"/>
        <w:bidi w:val="0"/>
        <w:rPr>
          <w:rFonts w:hint="default"/>
          <w:lang w:val="en-US" w:eastAsia="zh-CN"/>
        </w:rPr>
      </w:pPr>
      <w:bookmarkStart w:id="38" w:name="_Toc5994"/>
      <w:r>
        <w:rPr>
          <w:rFonts w:hint="eastAsia"/>
          <w:lang w:val="en-US" w:eastAsia="zh-CN"/>
        </w:rPr>
        <w:t>4</w:t>
      </w:r>
      <w:r>
        <w:rPr>
          <w:rFonts w:hint="default"/>
          <w:lang w:val="en-US" w:eastAsia="zh-CN"/>
        </w:rPr>
        <w:t>.3</w:t>
      </w:r>
      <w:r>
        <w:rPr>
          <w:rFonts w:hint="eastAsia"/>
          <w:lang w:val="en-US" w:eastAsia="zh-CN"/>
        </w:rPr>
        <w:t xml:space="preserve"> </w:t>
      </w:r>
      <w:r>
        <w:rPr>
          <w:rFonts w:hint="default"/>
          <w:lang w:val="en-US" w:eastAsia="zh-CN"/>
        </w:rPr>
        <w:t>Practical Implications</w:t>
      </w:r>
      <w:bookmarkEnd w:id="38"/>
    </w:p>
    <w:p w14:paraId="2AA0B75B">
      <w:pPr>
        <w:bidi w:val="0"/>
        <w:ind w:firstLine="480" w:firstLineChars="200"/>
        <w:rPr>
          <w:rFonts w:hint="default"/>
          <w:lang w:val="en-US" w:eastAsia="zh-CN"/>
        </w:rPr>
      </w:pPr>
      <w:r>
        <w:rPr>
          <w:rFonts w:hint="default"/>
          <w:lang w:val="en-US" w:eastAsia="zh-CN"/>
        </w:rPr>
        <w:t>The proposed framework offers cultural institutions a potential approach to improving heritage presentation and public engagement.</w:t>
      </w:r>
    </w:p>
    <w:p w14:paraId="134B8BCF">
      <w:pPr>
        <w:bidi w:val="0"/>
        <w:ind w:firstLine="480" w:firstLineChars="200"/>
        <w:rPr>
          <w:rFonts w:hint="default"/>
          <w:lang w:val="en-US" w:eastAsia="zh-CN"/>
        </w:rPr>
      </w:pPr>
      <w:r>
        <w:rPr>
          <w:rFonts w:hint="default"/>
          <w:lang w:val="en-US" w:eastAsia="zh-CN"/>
        </w:rPr>
        <w:t>Educational institutions may use immersive learning environments to introduce traditional crafts to younger generations and encourage active participation.</w:t>
      </w:r>
    </w:p>
    <w:p w14:paraId="4C33EAC4">
      <w:pPr>
        <w:bidi w:val="0"/>
        <w:ind w:firstLine="480" w:firstLineChars="200"/>
        <w:rPr>
          <w:rFonts w:hint="default"/>
          <w:lang w:val="en-US" w:eastAsia="zh-CN"/>
        </w:rPr>
      </w:pPr>
      <w:r>
        <w:rPr>
          <w:rFonts w:hint="default"/>
          <w:lang w:val="en-US" w:eastAsia="zh-CN"/>
        </w:rPr>
        <w:t>Beyond Nanjing Yunjin brocade, the framework may also be adapted to other traditional crafts facing similar transmission challenges worldwide</w:t>
      </w:r>
      <w:r>
        <w:rPr>
          <w:rFonts w:hint="default"/>
          <w:lang w:val="en-US" w:eastAsia="zh-CN"/>
        </w:rPr>
        <w:fldChar w:fldCharType="begin"/>
      </w:r>
      <w:r>
        <w:rPr>
          <w:rFonts w:hint="default"/>
          <w:lang w:val="en-US" w:eastAsia="zh-CN"/>
        </w:rPr>
        <w:instrText xml:space="preserve"> REF _Ref30106 \r \h </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default"/>
          <w:lang w:val="en-US" w:eastAsia="zh-CN"/>
        </w:rPr>
        <w:t>.</w:t>
      </w:r>
    </w:p>
    <w:p w14:paraId="36FEDA6D">
      <w:pPr>
        <w:rPr>
          <w:rFonts w:hint="default"/>
          <w:lang w:val="en-US" w:eastAsia="zh-CN"/>
        </w:rPr>
      </w:pPr>
      <w:r>
        <w:rPr>
          <w:rFonts w:hint="default"/>
          <w:lang w:val="en-US" w:eastAsia="zh-CN"/>
        </w:rPr>
        <w:br w:type="page"/>
      </w:r>
    </w:p>
    <w:p w14:paraId="51F7A93D">
      <w:pPr>
        <w:pStyle w:val="2"/>
        <w:bidi w:val="0"/>
        <w:jc w:val="center"/>
        <w:rPr>
          <w:rFonts w:hint="default"/>
          <w:lang w:val="en-US" w:eastAsia="zh-CN"/>
        </w:rPr>
      </w:pPr>
      <w:bookmarkStart w:id="39" w:name="_Toc7966"/>
      <w:r>
        <w:rPr>
          <w:rFonts w:hint="eastAsia"/>
          <w:lang w:val="en-US" w:eastAsia="zh-CN"/>
        </w:rPr>
        <w:t>5</w:t>
      </w:r>
      <w:r>
        <w:rPr>
          <w:rFonts w:hint="default"/>
          <w:lang w:val="en-US" w:eastAsia="zh-CN"/>
        </w:rPr>
        <w:t>.</w:t>
      </w:r>
      <w:r>
        <w:rPr>
          <w:rFonts w:hint="eastAsia"/>
          <w:lang w:val="en-US" w:eastAsia="zh-CN"/>
        </w:rPr>
        <w:t xml:space="preserve"> Conclusion</w:t>
      </w:r>
      <w:bookmarkEnd w:id="39"/>
    </w:p>
    <w:p w14:paraId="38F3D694">
      <w:pPr>
        <w:bidi w:val="0"/>
        <w:ind w:firstLine="480" w:firstLineChars="200"/>
        <w:rPr>
          <w:rFonts w:hint="default"/>
          <w:lang w:val="en-US" w:eastAsia="zh-CN"/>
        </w:rPr>
      </w:pPr>
      <w:r>
        <w:rPr>
          <w:rFonts w:hint="default"/>
          <w:lang w:val="en-US" w:eastAsia="zh-CN"/>
        </w:rPr>
        <w:t>This study examined how emerging technologies can support the sustainable transmission of intangible cultural heritage, using Nanjing Yunjin brocade as a representative case.</w:t>
      </w:r>
    </w:p>
    <w:p w14:paraId="6323B3D9">
      <w:pPr>
        <w:bidi w:val="0"/>
        <w:ind w:firstLine="480" w:firstLineChars="200"/>
        <w:rPr>
          <w:rFonts w:hint="default"/>
          <w:lang w:val="en-US" w:eastAsia="zh-CN"/>
        </w:rPr>
      </w:pPr>
      <w:r>
        <w:rPr>
          <w:rFonts w:hint="default"/>
          <w:lang w:val="en-US" w:eastAsia="zh-CN"/>
        </w:rPr>
        <w:t>The study found that existing digital heritage practices have improved preservation and accessibility but remain insufficient for promoting long-term cultural transmission. To address this limitation, the study proposed a Digital Heritage Ecosystem integrating technological innovation with community participation.</w:t>
      </w:r>
    </w:p>
    <w:p w14:paraId="35B0B7F8">
      <w:pPr>
        <w:bidi w:val="0"/>
        <w:ind w:firstLine="480" w:firstLineChars="200"/>
        <w:rPr>
          <w:rFonts w:hint="default"/>
          <w:lang w:val="en-US" w:eastAsia="zh-CN"/>
        </w:rPr>
      </w:pPr>
      <w:r>
        <w:rPr>
          <w:rFonts w:hint="default"/>
          <w:lang w:val="en-US" w:eastAsia="zh-CN"/>
        </w:rPr>
        <w:t>Theoretically, this study extends discussions of digital heritage preservation by emphasizing the importance of interaction and participation</w:t>
      </w:r>
      <w:r>
        <w:rPr>
          <w:rFonts w:hint="default"/>
          <w:lang w:val="en-US" w:eastAsia="zh-CN"/>
        </w:rPr>
        <w:fldChar w:fldCharType="begin"/>
      </w:r>
      <w:r>
        <w:rPr>
          <w:rFonts w:hint="default"/>
          <w:lang w:val="en-US" w:eastAsia="zh-CN"/>
        </w:rPr>
        <w:instrText xml:space="preserve"> REF _Ref29309 \r \h </w:instrText>
      </w:r>
      <w:r>
        <w:rPr>
          <w:rFonts w:hint="default"/>
          <w:lang w:val="en-US" w:eastAsia="zh-CN"/>
        </w:rPr>
        <w:fldChar w:fldCharType="separate"/>
      </w:r>
      <w:r>
        <w:rPr>
          <w:rFonts w:hint="default"/>
          <w:lang w:val="en-US" w:eastAsia="zh-CN"/>
        </w:rPr>
        <w:t>[</w:t>
      </w:r>
      <w:r>
        <w:rPr>
          <w:rFonts w:hint="eastAsia"/>
          <w:lang w:val="en-US" w:eastAsia="zh-CN"/>
        </w:rPr>
        <w:t>9</w:t>
      </w:r>
      <w:r>
        <w:rPr>
          <w:rFonts w:hint="default"/>
          <w:lang w:val="en-US" w:eastAsia="zh-CN"/>
        </w:rPr>
        <w:t>]</w:t>
      </w:r>
      <w:r>
        <w:rPr>
          <w:rFonts w:hint="default"/>
          <w:lang w:val="en-US" w:eastAsia="zh-CN"/>
        </w:rPr>
        <w:fldChar w:fldCharType="end"/>
      </w:r>
      <w:r>
        <w:rPr>
          <w:rFonts w:hint="default"/>
          <w:lang w:val="en-US" w:eastAsia="zh-CN"/>
        </w:rPr>
        <w:t>.</w:t>
      </w:r>
    </w:p>
    <w:p w14:paraId="0CBEF8A1">
      <w:pPr>
        <w:bidi w:val="0"/>
        <w:ind w:firstLine="480" w:firstLineChars="200"/>
        <w:rPr>
          <w:rFonts w:hint="default"/>
          <w:lang w:val="en-US" w:eastAsia="zh-CN"/>
        </w:rPr>
      </w:pPr>
      <w:r>
        <w:rPr>
          <w:rFonts w:hint="default"/>
          <w:lang w:val="en-US" w:eastAsia="zh-CN"/>
        </w:rPr>
        <w:t>Practically, it offers a potential pathway for revitalizing traditional crafts while maintaining cultural authenticity.</w:t>
      </w:r>
    </w:p>
    <w:p w14:paraId="6E5791A7">
      <w:pPr>
        <w:pStyle w:val="3"/>
        <w:bidi w:val="0"/>
        <w:rPr>
          <w:rFonts w:hint="default"/>
          <w:lang w:val="en-US" w:eastAsia="zh-CN"/>
        </w:rPr>
      </w:pPr>
      <w:bookmarkStart w:id="40" w:name="_Toc15017"/>
      <w:r>
        <w:rPr>
          <w:rFonts w:hint="eastAsia"/>
          <w:lang w:val="en-US" w:eastAsia="zh-CN"/>
        </w:rPr>
        <w:t>5</w:t>
      </w:r>
      <w:r>
        <w:rPr>
          <w:rFonts w:hint="default"/>
          <w:lang w:val="en-US" w:eastAsia="zh-CN"/>
        </w:rPr>
        <w:t>.1</w:t>
      </w:r>
      <w:r>
        <w:rPr>
          <w:rFonts w:hint="eastAsia"/>
          <w:lang w:val="en-US" w:eastAsia="zh-CN"/>
        </w:rPr>
        <w:t xml:space="preserve"> </w:t>
      </w:r>
      <w:r>
        <w:rPr>
          <w:rFonts w:hint="default"/>
          <w:lang w:val="en-US" w:eastAsia="zh-CN"/>
        </w:rPr>
        <w:t>Limitations and Future Research</w:t>
      </w:r>
      <w:bookmarkEnd w:id="40"/>
    </w:p>
    <w:p w14:paraId="21E23CD1">
      <w:pPr>
        <w:bidi w:val="0"/>
        <w:ind w:firstLine="480" w:firstLineChars="200"/>
        <w:rPr>
          <w:rFonts w:hint="default"/>
          <w:lang w:val="en-US" w:eastAsia="zh-CN"/>
        </w:rPr>
      </w:pPr>
      <w:r>
        <w:rPr>
          <w:rFonts w:hint="default"/>
          <w:lang w:val="en-US" w:eastAsia="zh-CN"/>
        </w:rPr>
        <w:t>Limitation 1:</w:t>
      </w:r>
      <w:r>
        <w:rPr>
          <w:rFonts w:hint="eastAsia"/>
          <w:lang w:val="en-US" w:eastAsia="zh-CN"/>
        </w:rPr>
        <w:t xml:space="preserve"> </w:t>
      </w:r>
      <w:r>
        <w:rPr>
          <w:rFonts w:hint="default"/>
          <w:lang w:val="en-US" w:eastAsia="zh-CN"/>
        </w:rPr>
        <w:t>Lack of empirical evaluation</w:t>
      </w:r>
    </w:p>
    <w:p w14:paraId="2E2C4B98">
      <w:pPr>
        <w:bidi w:val="0"/>
        <w:ind w:firstLine="480" w:firstLineChars="200"/>
        <w:rPr>
          <w:rFonts w:hint="default"/>
          <w:lang w:val="en-US" w:eastAsia="zh-CN"/>
        </w:rPr>
      </w:pPr>
      <w:r>
        <w:rPr>
          <w:rFonts w:hint="default"/>
          <w:lang w:val="en-US" w:eastAsia="zh-CN"/>
        </w:rPr>
        <w:t>First, this study proposes a conceptual framework rather than a fully operational digital system. The effectiveness of the proposed ecosystem therefore requires further empirical validation.</w:t>
      </w:r>
    </w:p>
    <w:p w14:paraId="3FE03DE5">
      <w:pPr>
        <w:bidi w:val="0"/>
        <w:ind w:firstLine="480" w:firstLineChars="200"/>
        <w:rPr>
          <w:rFonts w:hint="default"/>
          <w:lang w:val="en-US" w:eastAsia="zh-CN"/>
        </w:rPr>
      </w:pPr>
      <w:r>
        <w:rPr>
          <w:rFonts w:hint="default"/>
          <w:lang w:val="en-US" w:eastAsia="zh-CN"/>
        </w:rPr>
        <w:t>Limitation 2:</w:t>
      </w:r>
      <w:r>
        <w:rPr>
          <w:rFonts w:hint="eastAsia"/>
          <w:lang w:val="en-US" w:eastAsia="zh-CN"/>
        </w:rPr>
        <w:t xml:space="preserve"> </w:t>
      </w:r>
      <w:r>
        <w:rPr>
          <w:rFonts w:hint="default"/>
          <w:lang w:val="en-US" w:eastAsia="zh-CN"/>
        </w:rPr>
        <w:t>Limited case scope</w:t>
      </w:r>
    </w:p>
    <w:p w14:paraId="59D49F06">
      <w:pPr>
        <w:bidi w:val="0"/>
        <w:ind w:firstLine="480" w:firstLineChars="200"/>
        <w:rPr>
          <w:rFonts w:hint="default"/>
          <w:lang w:val="en-US" w:eastAsia="zh-CN"/>
        </w:rPr>
      </w:pPr>
      <w:r>
        <w:rPr>
          <w:rFonts w:hint="default"/>
          <w:lang w:val="en-US" w:eastAsia="zh-CN"/>
        </w:rPr>
        <w:t>Second, the research focuses primarily on Nanjing Yunjin brocade as a representative case. Although the framework may have broader applicability, further studies involving different cultural contexts and traditional crafts are needed.</w:t>
      </w:r>
    </w:p>
    <w:p w14:paraId="388EAD7A">
      <w:pPr>
        <w:bidi w:val="0"/>
        <w:ind w:firstLine="480" w:firstLineChars="200"/>
        <w:rPr>
          <w:rFonts w:hint="default"/>
          <w:lang w:val="en-US" w:eastAsia="zh-CN"/>
        </w:rPr>
      </w:pPr>
      <w:r>
        <w:rPr>
          <w:rFonts w:hint="default"/>
          <w:lang w:val="en-US" w:eastAsia="zh-CN"/>
        </w:rPr>
        <w:t>Limitation 3:</w:t>
      </w:r>
      <w:r>
        <w:rPr>
          <w:rFonts w:hint="eastAsia"/>
          <w:lang w:val="en-US" w:eastAsia="zh-CN"/>
        </w:rPr>
        <w:t xml:space="preserve"> </w:t>
      </w:r>
      <w:r>
        <w:rPr>
          <w:rFonts w:hint="default"/>
          <w:lang w:val="en-US" w:eastAsia="zh-CN"/>
        </w:rPr>
        <w:t>Need for user-based research</w:t>
      </w:r>
    </w:p>
    <w:p w14:paraId="464E4A55">
      <w:pPr>
        <w:bidi w:val="0"/>
        <w:ind w:firstLine="480" w:firstLineChars="200"/>
        <w:rPr>
          <w:rFonts w:hint="default"/>
          <w:lang w:val="en-US" w:eastAsia="zh-CN"/>
        </w:rPr>
      </w:pPr>
      <w:r>
        <w:rPr>
          <w:rFonts w:hint="default"/>
          <w:lang w:val="en-US" w:eastAsia="zh-CN"/>
        </w:rPr>
        <w:t>Third, future research should incorporate user studies, surveys, or interviews with younger audiences and artisans to evaluate user acceptance and practical effectiveness</w:t>
      </w:r>
      <w:r>
        <w:rPr>
          <w:rFonts w:hint="default"/>
          <w:lang w:val="en-US" w:eastAsia="zh-CN"/>
        </w:rPr>
        <w:fldChar w:fldCharType="begin"/>
      </w:r>
      <w:r>
        <w:rPr>
          <w:rFonts w:hint="default"/>
          <w:lang w:val="en-US" w:eastAsia="zh-CN"/>
        </w:rPr>
        <w:instrText xml:space="preserve"> REF _Ref28672 \r \h </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default"/>
          <w:lang w:val="en-US" w:eastAsia="zh-CN"/>
        </w:rPr>
        <w:t>.</w:t>
      </w:r>
    </w:p>
    <w:p w14:paraId="1DF3C668">
      <w:pPr>
        <w:bidi w:val="0"/>
        <w:ind w:firstLine="480" w:firstLineChars="200"/>
        <w:rPr>
          <w:rFonts w:hint="default"/>
          <w:lang w:val="en-US" w:eastAsia="zh-CN"/>
        </w:rPr>
      </w:pPr>
      <w:r>
        <w:rPr>
          <w:rFonts w:hint="default"/>
          <w:lang w:val="en-US" w:eastAsia="zh-CN"/>
        </w:rPr>
        <w:t>Future research may focus on developing prototype systems, conducting user evaluations, and exploring cross-cultural applications of the digital heritage ecosystem.</w:t>
      </w:r>
    </w:p>
    <w:p w14:paraId="628F1E3C">
      <w:pPr>
        <w:bidi w:val="0"/>
        <w:rPr>
          <w:rFonts w:hint="eastAsia"/>
          <w:b/>
          <w:bCs/>
          <w:lang w:val="en-US" w:eastAsia="zh-CN"/>
        </w:rPr>
      </w:pPr>
      <w:r>
        <w:rPr>
          <w:rFonts w:hint="eastAsia"/>
          <w:b/>
          <w:bCs/>
          <w:lang w:val="en-US" w:eastAsia="zh-CN"/>
        </w:rPr>
        <w:t>Table 7</w:t>
      </w:r>
    </w:p>
    <w:p w14:paraId="54EFC537">
      <w:pPr>
        <w:bidi w:val="0"/>
        <w:rPr>
          <w:rFonts w:hint="default"/>
          <w:b w:val="0"/>
          <w:bCs w:val="0"/>
          <w:i/>
          <w:iCs/>
          <w:lang w:val="en-US" w:eastAsia="zh-CN"/>
        </w:rPr>
      </w:pPr>
      <w:r>
        <w:rPr>
          <w:rFonts w:hint="eastAsia"/>
          <w:b w:val="0"/>
          <w:bCs w:val="0"/>
          <w:i/>
          <w:iCs/>
          <w:lang w:val="en-US" w:eastAsia="zh-CN"/>
        </w:rPr>
        <w:t>Conditions for transferring the framework to other crafts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28"/>
        <w:gridCol w:w="4214"/>
      </w:tblGrid>
      <w:tr w14:paraId="3166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4" w:space="0"/>
              <w:left w:val="nil"/>
              <w:bottom w:val="nil"/>
              <w:right w:val="nil"/>
              <w:tl2br w:val="nil"/>
            </w:tcBorders>
            <w:shd w:val="clear" w:color="auto" w:fill="FFFFFF"/>
          </w:tcPr>
          <w:p w14:paraId="73501D41">
            <w:pPr>
              <w:spacing w:before="40" w:after="40"/>
              <w:rPr>
                <w:b w:val="0"/>
                <w:color w:val="000000"/>
                <w:sz w:val="21"/>
                <w:szCs w:val="21"/>
              </w:rPr>
            </w:pPr>
            <w:r>
              <w:rPr>
                <w:b w:val="0"/>
                <w:color w:val="000000"/>
                <w:sz w:val="21"/>
                <w:szCs w:val="21"/>
              </w:rPr>
              <w:t>The craft has parameterisable tools and decomposable procedures</w:t>
            </w:r>
          </w:p>
        </w:tc>
        <w:tc>
          <w:tcPr>
            <w:tcW w:w="0" w:type="auto"/>
            <w:tcBorders>
              <w:top w:val="single" w:color="000000" w:sz="4" w:space="0"/>
              <w:left w:val="nil"/>
              <w:bottom w:val="nil"/>
              <w:right w:val="nil"/>
            </w:tcBorders>
            <w:shd w:val="clear" w:color="auto" w:fill="FFFFFF"/>
          </w:tcPr>
          <w:p w14:paraId="08868941">
            <w:pPr>
              <w:spacing w:before="40" w:after="40"/>
              <w:rPr>
                <w:b w:val="0"/>
                <w:color w:val="000000"/>
                <w:sz w:val="21"/>
                <w:szCs w:val="21"/>
              </w:rPr>
            </w:pPr>
            <w:r>
              <w:rPr>
                <w:b w:val="0"/>
                <w:color w:val="000000"/>
                <w:sz w:val="21"/>
                <w:szCs w:val="21"/>
              </w:rPr>
              <w:t>Required for structural and procedural modelling</w:t>
            </w:r>
          </w:p>
        </w:tc>
      </w:tr>
      <w:tr w14:paraId="623FC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398DFC41">
            <w:pPr>
              <w:spacing w:before="40" w:after="40"/>
              <w:rPr>
                <w:b w:val="0"/>
                <w:color w:val="000000"/>
                <w:sz w:val="21"/>
                <w:szCs w:val="21"/>
              </w:rPr>
            </w:pPr>
            <w:r>
              <w:rPr>
                <w:b w:val="0"/>
                <w:color w:val="000000"/>
                <w:sz w:val="21"/>
                <w:szCs w:val="21"/>
              </w:rPr>
              <w:t>Living practitioners are available for capture</w:t>
            </w:r>
          </w:p>
        </w:tc>
        <w:tc>
          <w:tcPr>
            <w:tcW w:w="0" w:type="auto"/>
            <w:tcBorders>
              <w:top w:val="nil"/>
              <w:left w:val="nil"/>
              <w:bottom w:val="nil"/>
              <w:right w:val="nil"/>
            </w:tcBorders>
            <w:shd w:val="clear" w:color="auto" w:fill="FFFFFF"/>
          </w:tcPr>
          <w:p w14:paraId="121BE6A9">
            <w:pPr>
              <w:spacing w:before="40" w:after="40"/>
              <w:rPr>
                <w:b w:val="0"/>
                <w:color w:val="000000"/>
                <w:sz w:val="21"/>
                <w:szCs w:val="21"/>
              </w:rPr>
            </w:pPr>
            <w:r>
              <w:rPr>
                <w:b w:val="0"/>
                <w:color w:val="000000"/>
                <w:sz w:val="21"/>
                <w:szCs w:val="21"/>
              </w:rPr>
              <w:t>Motion and process data must derive from practice</w:t>
            </w:r>
          </w:p>
        </w:tc>
      </w:tr>
      <w:tr w14:paraId="50CF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tcPr>
          <w:p w14:paraId="71AC07FE">
            <w:pPr>
              <w:spacing w:before="40" w:after="40"/>
              <w:rPr>
                <w:b w:val="0"/>
                <w:color w:val="000000"/>
                <w:sz w:val="21"/>
                <w:szCs w:val="21"/>
              </w:rPr>
            </w:pPr>
            <w:r>
              <w:rPr>
                <w:b w:val="0"/>
                <w:color w:val="000000"/>
                <w:sz w:val="21"/>
                <w:szCs w:val="21"/>
              </w:rPr>
              <w:t>An institutional host exists</w:t>
            </w:r>
          </w:p>
        </w:tc>
        <w:tc>
          <w:tcPr>
            <w:tcW w:w="0" w:type="auto"/>
            <w:tcBorders>
              <w:top w:val="nil"/>
              <w:left w:val="nil"/>
              <w:bottom w:val="single" w:color="000000" w:sz="4" w:space="0"/>
              <w:right w:val="nil"/>
            </w:tcBorders>
            <w:shd w:val="clear" w:color="auto" w:fill="FFFFFF"/>
          </w:tcPr>
          <w:p w14:paraId="1AFD8639">
            <w:pPr>
              <w:spacing w:before="40" w:after="40"/>
              <w:rPr>
                <w:b w:val="0"/>
                <w:color w:val="000000"/>
                <w:sz w:val="21"/>
                <w:szCs w:val="21"/>
              </w:rPr>
            </w:pPr>
            <w:r>
              <w:rPr>
                <w:b w:val="0"/>
                <w:color w:val="000000"/>
                <w:sz w:val="21"/>
                <w:szCs w:val="21"/>
              </w:rPr>
              <w:t>Needed to carry the seeding phase and validation chain</w:t>
            </w:r>
          </w:p>
        </w:tc>
      </w:tr>
    </w:tbl>
    <w:p w14:paraId="3CCB50C6">
      <w:pPr>
        <w:bidi w:val="0"/>
        <w:ind w:firstLine="420" w:firstLineChars="0"/>
        <w:rPr>
          <w:rFonts w:hint="default"/>
          <w:lang w:val="en-US" w:eastAsia="zh-CN"/>
        </w:rPr>
      </w:pPr>
      <w:r>
        <w:rPr>
          <w:rFonts w:hint="default"/>
          <w:lang w:val="en-US" w:eastAsia="zh-CN"/>
        </w:rPr>
        <w:t>Crafts satisfying these three conditions — for example Shu brocade, Song brocade or kesi silk tapestry — are plausible candidates for transfer. Performance-based heritage in which improvisation predominates would require a differently configured framework</w:t>
      </w:r>
      <w:r>
        <w:rPr>
          <w:rFonts w:hint="eastAsia"/>
          <w:lang w:val="en-US" w:eastAsia="zh-CN"/>
        </w:rPr>
        <w:t>.</w:t>
      </w:r>
    </w:p>
    <w:p w14:paraId="018463ED">
      <w:pPr>
        <w:rPr>
          <w:rFonts w:hint="default"/>
          <w:lang w:val="en-US" w:eastAsia="zh-CN"/>
        </w:rPr>
      </w:pPr>
      <w:r>
        <w:rPr>
          <w:rFonts w:hint="default"/>
          <w:lang w:val="en-US" w:eastAsia="zh-CN"/>
        </w:rPr>
        <w:br w:type="page"/>
      </w:r>
    </w:p>
    <w:p w14:paraId="44B31FDF">
      <w:pPr>
        <w:pStyle w:val="2"/>
        <w:bidi w:val="0"/>
        <w:jc w:val="left"/>
        <w:rPr>
          <w:rFonts w:hint="default"/>
          <w:lang w:val="en-US" w:eastAsia="zh-CN"/>
        </w:rPr>
      </w:pPr>
      <w:bookmarkStart w:id="41" w:name="_Toc22015"/>
      <w:r>
        <w:rPr>
          <w:rFonts w:hint="eastAsia"/>
          <w:lang w:val="en-US" w:eastAsia="zh-CN"/>
        </w:rPr>
        <w:t>References</w:t>
      </w:r>
      <w:bookmarkEnd w:id="41"/>
    </w:p>
    <w:p w14:paraId="28677709">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42" w:name="_Ref29965"/>
      <w:r>
        <w:rPr>
          <w:rFonts w:hint="default"/>
          <w:lang w:val="en-US" w:eastAsia="zh-CN"/>
        </w:rPr>
        <w:t>PARTARAKIS N, ZABULIS X, FOUKARAKIS M, et al. Supporting sustainability</w:t>
      </w:r>
      <w:r>
        <w:rPr>
          <w:rFonts w:hint="eastAsia"/>
          <w:lang w:val="en-US" w:eastAsia="zh-CN"/>
        </w:rPr>
        <w:t xml:space="preserve"> in </w:t>
      </w:r>
      <w:r>
        <w:rPr>
          <w:rFonts w:hint="default"/>
          <w:lang w:val="en-US" w:eastAsia="zh-CN"/>
        </w:rPr>
        <w:t>heritage crafts through digital representation and presentation[J]. ACM Journal</w:t>
      </w:r>
      <w:r>
        <w:rPr>
          <w:rFonts w:hint="eastAsia"/>
          <w:lang w:val="en-US" w:eastAsia="zh-CN"/>
        </w:rPr>
        <w:t xml:space="preserve"> </w:t>
      </w:r>
      <w:r>
        <w:rPr>
          <w:rFonts w:hint="default"/>
          <w:lang w:val="en-US" w:eastAsia="zh-CN"/>
        </w:rPr>
        <w:t>on</w:t>
      </w:r>
      <w:r>
        <w:rPr>
          <w:rFonts w:hint="eastAsia"/>
          <w:lang w:val="en-US" w:eastAsia="zh-CN"/>
        </w:rPr>
        <w:t xml:space="preserve"> </w:t>
      </w:r>
      <w:r>
        <w:rPr>
          <w:rFonts w:hint="default"/>
          <w:lang w:val="en-US" w:eastAsia="zh-CN"/>
        </w:rPr>
        <w:t>Computing and Cultural Heritage, 2022.</w:t>
      </w:r>
    </w:p>
    <w:p w14:paraId="593BA6A7">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KIRSHENBLATT-GIMBLETT B. Intangible heritage as metacultural production[J].Museum International, 2004, 56(1-2):52-65.</w:t>
      </w:r>
    </w:p>
    <w:p w14:paraId="2556DDC8">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43" w:name="_Ref31490"/>
      <w:r>
        <w:rPr>
          <w:rFonts w:hint="default"/>
          <w:lang w:val="en-US" w:eastAsia="zh-CN"/>
        </w:rPr>
        <w:t>Peng Z R. Family heirlooms: A brief analysis of the "system" of China’s intangible cultural heritage[J]. Journal of Xuzhou University of Engineering (Social Science Edition), 2018,33(5):1-5.</w:t>
      </w:r>
      <w:r>
        <w:rPr>
          <w:rFonts w:hint="eastAsia"/>
          <w:lang w:val="en-US" w:eastAsia="zh-CN"/>
        </w:rPr>
        <w:t>(Chinese with English abstract)</w:t>
      </w:r>
      <w:bookmarkEnd w:id="43"/>
    </w:p>
    <w:bookmarkEnd w:id="42"/>
    <w:p w14:paraId="108DDD7E">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44" w:name="_Ref28169"/>
      <w:bookmarkStart w:id="45" w:name="_Ref30867"/>
      <w:r>
        <w:rPr>
          <w:rFonts w:hint="default"/>
          <w:lang w:val="en-US" w:eastAsia="zh-CN"/>
        </w:rPr>
        <w:t>Pan X Y, Zhou C R. Hangzhou Intangible Cultural Heritage Carnival: Youth as the Key Factor for ICH Outreach[N]. China Culture News, 14 July 2026, p.4.</w:t>
      </w:r>
      <w:bookmarkEnd w:id="44"/>
      <w:r>
        <w:rPr>
          <w:rFonts w:hint="eastAsia"/>
          <w:lang w:val="en-US" w:eastAsia="zh-CN"/>
        </w:rPr>
        <w:t>(Chinese with English abstract)</w:t>
      </w:r>
    </w:p>
    <w:p w14:paraId="527514F7">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46" w:name="_Ref32519"/>
      <w:r>
        <w:rPr>
          <w:rFonts w:hint="default"/>
          <w:lang w:val="en-US" w:eastAsia="zh-CN"/>
        </w:rPr>
        <w:t>KALAY Y E, KVAN T, AFFLECK J. New Heritage: New Media and Cultural Heritage[M]. London: Routledge, 2008.</w:t>
      </w:r>
      <w:bookmarkEnd w:id="46"/>
    </w:p>
    <w:p w14:paraId="6FECF5FC">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CHAMPION E. Critical Gaming: Interactive History and Virtual Heritage[M].Farnham: Ashgate, 2015.</w:t>
      </w:r>
    </w:p>
    <w:p w14:paraId="7ED6145A">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BEKELE M K, PIERDICCA R, FRONTONI E, et al. A survey of augmented, virtual,and mixed reality for cultural heritage[J]. ACM Journal on Computing and Cultural Heritage, 2018, 11(2): Article 7.</w:t>
      </w:r>
      <w:bookmarkStart w:id="47" w:name="_Ref29662"/>
    </w:p>
    <w:p w14:paraId="10A3AB64">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Ye C W. Living inheritance paths and digital protection strategies of intangible cultural heritage archives[J]. Shanxi Archives, 2026(7): 90-92.</w:t>
      </w:r>
      <w:bookmarkEnd w:id="47"/>
      <w:r>
        <w:rPr>
          <w:rFonts w:hint="eastAsia"/>
          <w:lang w:val="en-US" w:eastAsia="zh-CN"/>
        </w:rPr>
        <w:t>(Chinese with English abstract)</w:t>
      </w:r>
    </w:p>
    <w:p w14:paraId="3EAEFC8C">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48" w:name="_Ref13609"/>
      <w:r>
        <w:rPr>
          <w:rFonts w:hint="default"/>
          <w:lang w:val="en-US" w:eastAsia="zh-CN"/>
        </w:rPr>
        <w:t>GIACCARDI E. Heritage and Social Media: Understanding Heritage in a</w:t>
      </w:r>
      <w:r>
        <w:rPr>
          <w:rFonts w:hint="eastAsia"/>
          <w:lang w:val="en-US" w:eastAsia="zh-CN"/>
        </w:rPr>
        <w:t xml:space="preserve"> </w:t>
      </w:r>
      <w:r>
        <w:rPr>
          <w:rFonts w:hint="default"/>
          <w:lang w:val="en-US" w:eastAsia="zh-CN"/>
        </w:rPr>
        <w:t>Participatory Culture[M]. London: Routledge, 2012.</w:t>
      </w:r>
      <w:bookmarkEnd w:id="48"/>
    </w:p>
    <w:p w14:paraId="24D9E78E">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ZABULIS X, MEGHINI C, PARTARAKIS N, et al. Representation and preservation</w:t>
      </w:r>
      <w:r>
        <w:rPr>
          <w:rFonts w:hint="eastAsia"/>
          <w:lang w:val="en-US" w:eastAsia="zh-CN"/>
        </w:rPr>
        <w:t xml:space="preserve"> of </w:t>
      </w:r>
      <w:r>
        <w:rPr>
          <w:rFonts w:hint="default"/>
          <w:lang w:val="en-US" w:eastAsia="zh-CN"/>
        </w:rPr>
        <w:t>heritage crafts[J]. Sustainability, 2020, 12(4): 1461.</w:t>
      </w:r>
    </w:p>
    <w:bookmarkEnd w:id="45"/>
    <w:p w14:paraId="332A7E36">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49" w:name="_Ref26360"/>
      <w:bookmarkStart w:id="50" w:name="_Ref31667"/>
      <w:r>
        <w:rPr>
          <w:rFonts w:hint="default"/>
          <w:lang w:val="en-US" w:eastAsia="zh-CN"/>
        </w:rPr>
        <w:t>CHENG H, CANG M, ZHOU W. Evaluating knowledge transfer mechanisms and</w:t>
      </w:r>
      <w:r>
        <w:rPr>
          <w:rFonts w:hint="eastAsia"/>
          <w:lang w:val="en-US" w:eastAsia="zh-CN"/>
        </w:rPr>
        <w:t xml:space="preserve"> </w:t>
      </w:r>
      <w:r>
        <w:rPr>
          <w:rFonts w:hint="default"/>
          <w:lang w:val="en-US" w:eastAsia="zh-CN"/>
        </w:rPr>
        <w:t>outcome</w:t>
      </w:r>
      <w:r>
        <w:rPr>
          <w:rFonts w:hint="eastAsia"/>
          <w:lang w:val="en-US" w:eastAsia="zh-CN"/>
        </w:rPr>
        <w:t>s</w:t>
      </w:r>
      <w:r>
        <w:rPr>
          <w:rFonts w:hint="default"/>
          <w:lang w:val="en-US" w:eastAsia="zh-CN"/>
        </w:rPr>
        <w:t xml:space="preserve"> of VR/AR for cultural-heritage serious games[J]. npj Heritage Science,2025,</w:t>
      </w:r>
      <w:r>
        <w:rPr>
          <w:rFonts w:hint="eastAsia"/>
          <w:lang w:val="en-US" w:eastAsia="zh-CN"/>
        </w:rPr>
        <w:t xml:space="preserve"> </w:t>
      </w:r>
      <w:r>
        <w:rPr>
          <w:rFonts w:hint="default"/>
          <w:lang w:val="en-US" w:eastAsia="zh-CN"/>
        </w:rPr>
        <w:t>13: 1-13.</w:t>
      </w:r>
      <w:bookmarkEnd w:id="49"/>
    </w:p>
    <w:p w14:paraId="2AEFB9B9">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UNESCO. Craftsmanship of Nanjing Yunjin brocade[EB/OL]. Representative List of</w:t>
      </w:r>
      <w:r>
        <w:rPr>
          <w:rFonts w:hint="eastAsia"/>
          <w:lang w:val="en-US" w:eastAsia="zh-CN"/>
        </w:rPr>
        <w:t xml:space="preserve"> </w:t>
      </w:r>
      <w:r>
        <w:rPr>
          <w:rFonts w:hint="default"/>
          <w:lang w:val="en-US" w:eastAsia="zh-CN"/>
        </w:rPr>
        <w:t>the Intangible Cultural Heritage of Humanity, 2009 [2026-07-26]. https://ich.unesco.org/en/RL/craftsmanship-of-nanjing-yunjin-brocade-00200.</w:t>
      </w:r>
    </w:p>
    <w:bookmarkEnd w:id="50"/>
    <w:p w14:paraId="5A690D4B">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51" w:name="_Ref29009"/>
      <w:bookmarkStart w:id="52" w:name="_Ref30106"/>
      <w:r>
        <w:rPr>
          <w:rFonts w:hint="default"/>
          <w:lang w:val="en-US" w:eastAsia="zh-CN"/>
        </w:rPr>
        <w:t>Xinhua News Agency. The 14th Five-Year Plan for Cultural Development[EB/OL]. (16 August</w:t>
      </w:r>
      <w:r>
        <w:rPr>
          <w:rFonts w:hint="eastAsia"/>
          <w:lang w:val="en-US" w:eastAsia="zh-CN"/>
        </w:rPr>
        <w:t xml:space="preserve"> </w:t>
      </w:r>
      <w:r>
        <w:rPr>
          <w:rFonts w:hint="default"/>
          <w:lang w:val="en-US" w:eastAsia="zh-CN"/>
        </w:rPr>
        <w:t>2022) [Accessed 8 February 2025]. https://www.gov.cn/zhengce/202212/content_6688296.htm.</w:t>
      </w:r>
      <w:bookmarkEnd w:id="51"/>
    </w:p>
    <w:bookmarkEnd w:id="52"/>
    <w:p w14:paraId="7DDA9356">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53" w:name="_Ref26902"/>
      <w:bookmarkStart w:id="54" w:name="_Ref5273"/>
      <w:r>
        <w:rPr>
          <w:rFonts w:hint="default"/>
          <w:lang w:val="en-US" w:eastAsia="zh-CN"/>
        </w:rPr>
        <w:t>Zhou J X, Tan F Q. Innovation in development modes of fine traditional Chinese culture in the era of artificial intelligence[J]. Central Plains Culture Research, 2020, 8(4)</w:t>
      </w:r>
      <w:r>
        <w:rPr>
          <w:rFonts w:hint="eastAsia"/>
          <w:lang w:val="en-US" w:eastAsia="zh-CN"/>
        </w:rPr>
        <w:t>: 36-42</w:t>
      </w:r>
      <w:r>
        <w:rPr>
          <w:rFonts w:hint="default"/>
          <w:lang w:val="en-US" w:eastAsia="zh-CN"/>
        </w:rPr>
        <w:t>.</w:t>
      </w:r>
      <w:r>
        <w:rPr>
          <w:rFonts w:hint="eastAsia"/>
          <w:lang w:val="en-US" w:eastAsia="zh-CN"/>
        </w:rPr>
        <w:t>(Chinese with English abstract)</w:t>
      </w:r>
      <w:bookmarkEnd w:id="53"/>
    </w:p>
    <w:p w14:paraId="768BA2F5">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FAN T, WANG H, HODEL T. CICHMKG: a large-scale and comprehensive Chinese intangible cultural heritage multimodal knowledge graph[J]. Heritage Science, 2023, 11: 201.</w:t>
      </w:r>
    </w:p>
    <w:p w14:paraId="4E4EC9B7">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55" w:name="_Ref3010"/>
      <w:bookmarkStart w:id="56" w:name="_Ref28091"/>
      <w:r>
        <w:rPr>
          <w:rFonts w:hint="default"/>
          <w:lang w:val="en-US" w:eastAsia="zh-CN"/>
        </w:rPr>
        <w:t>China National Radio. Focus on Lanzhou Investment and Trade Fair: What sparks will "intangible cultural heritage + technology" create?[EB/OL]. 11 July 2026 [Accessed 25 July 2026]. https://gs.cnr.cn/gsxw/kx/20260711/t20260711_527703324.shtml</w:t>
      </w:r>
      <w:bookmarkEnd w:id="55"/>
      <w:r>
        <w:rPr>
          <w:rFonts w:hint="eastAsia"/>
          <w:lang w:val="en-US" w:eastAsia="zh-CN"/>
        </w:rPr>
        <w:t>.</w:t>
      </w:r>
    </w:p>
    <w:p w14:paraId="4ECBCDD4">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GRIEVES M, VICKERS J. Digital twin: Mitigating unpredictable, undesirable emergent behavior in complex systems[M]//KAHLEN J, FLUMERFELT S, ALVES A (eds.). Transdisciplinary Perspectives on Complex Systems. Cham: Springer, 2017: 85-113.</w:t>
      </w:r>
      <w:bookmarkEnd w:id="56"/>
    </w:p>
    <w:p w14:paraId="257AD601">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57" w:name="_Ref28179"/>
      <w:r>
        <w:rPr>
          <w:rFonts w:hint="default"/>
          <w:lang w:val="en-US" w:eastAsia="zh-CN"/>
        </w:rPr>
        <w:t>TAO F, ZHANG H, LIU A, et al. Digital twin in industry: State-of-the-art[J].</w:t>
      </w:r>
      <w:r>
        <w:rPr>
          <w:rFonts w:hint="eastAsia"/>
          <w:lang w:val="en-US" w:eastAsia="zh-CN"/>
        </w:rPr>
        <w:t xml:space="preserve"> </w:t>
      </w:r>
      <w:r>
        <w:rPr>
          <w:rFonts w:hint="default"/>
          <w:lang w:val="en-US" w:eastAsia="zh-CN"/>
        </w:rPr>
        <w:t>IEEE Transactions on Industrial Informatics, 2019, 15(4): 2405-2415.</w:t>
      </w:r>
      <w:bookmarkEnd w:id="57"/>
    </w:p>
    <w:p w14:paraId="43B22422">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58" w:name="_Ref1397"/>
      <w:r>
        <w:rPr>
          <w:rFonts w:hint="default"/>
          <w:lang w:val="en-US" w:eastAsia="zh-CN"/>
        </w:rPr>
        <w:t>JONES D, SNIDER C, NASSEHI A, et al. Characterising the Digital Twin: A systematic literature review[J]. CIRP Journal of Manufacturing Science and Technology, 2020, 29: 36-52.</w:t>
      </w:r>
      <w:bookmarkEnd w:id="58"/>
    </w:p>
    <w:p w14:paraId="026A0B47">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59" w:name="_Ref3656"/>
      <w:r>
        <w:rPr>
          <w:rFonts w:hint="default"/>
          <w:lang w:val="en-US" w:eastAsia="zh-CN"/>
        </w:rPr>
        <w:t>Pan Y, Li S X, Tan S, et al. Advances in stylization, multimodal driving and interaction of digital humans[J]. Journal of Image and Graphics, 2025,30(2):334-360.</w:t>
      </w:r>
      <w:r>
        <w:rPr>
          <w:rFonts w:hint="eastAsia"/>
          <w:lang w:val="en-US" w:eastAsia="zh-CN"/>
        </w:rPr>
        <w:t>(Chinese with English abstract)</w:t>
      </w:r>
      <w:bookmarkEnd w:id="59"/>
    </w:p>
    <w:p w14:paraId="3E3D7848">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60" w:name="_Ref28270"/>
      <w:r>
        <w:rPr>
          <w:rFonts w:hint="default"/>
          <w:lang w:val="en-US" w:eastAsia="zh-CN"/>
        </w:rPr>
        <w:t>KOLB D A. Experiential Learning: Experience as the Source of Learning and Development[M]. Englewood Cliffs, NJ: Prentice-Hall, 1984.</w:t>
      </w:r>
      <w:bookmarkEnd w:id="60"/>
    </w:p>
    <w:p w14:paraId="74B4B8D6">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61" w:name="_Ref28358"/>
      <w:r>
        <w:rPr>
          <w:rFonts w:hint="default"/>
          <w:lang w:val="en-US" w:eastAsia="zh-CN"/>
        </w:rPr>
        <w:t>LAVE J, WENGER E. Situated Learning: Legitimate Peripheral Participation[M].</w:t>
      </w:r>
      <w:r>
        <w:rPr>
          <w:rFonts w:hint="eastAsia"/>
          <w:lang w:val="en-US" w:eastAsia="zh-CN"/>
        </w:rPr>
        <w:t xml:space="preserve"> </w:t>
      </w:r>
      <w:r>
        <w:rPr>
          <w:rFonts w:hint="default"/>
          <w:lang w:val="en-US" w:eastAsia="zh-CN"/>
        </w:rPr>
        <w:t>Cambridge: Cambridge University Press, 1991.</w:t>
      </w:r>
      <w:bookmarkEnd w:id="61"/>
    </w:p>
    <w:p w14:paraId="43028BF0">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Xinhuanet. When IP Meets AI, Culture Takes on a "Tech Style"[EB/OL]. 23 Jan 2026 [Accessed 25 Jul 2026]. https://www.news.cn/20260123/b66a5773dd1740b1bcb50bfc51f2ee05/c.html.</w:t>
      </w:r>
    </w:p>
    <w:p w14:paraId="743E7698">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bookmarkStart w:id="62" w:name="_Ref26761"/>
      <w:bookmarkStart w:id="63" w:name="_Ref3748"/>
      <w:r>
        <w:rPr>
          <w:rFonts w:hint="default"/>
          <w:lang w:val="en-US" w:eastAsia="zh-CN"/>
        </w:rPr>
        <w:t>Lin H, Chen X, He Y. Research on Practical Paths of AI Empowering the Protection and Inheritance of Intangible Cultural Heritage—A Case Study of Ningxia Huangyang Money Whip[J]. National Arts Journal, 2026(3): 139-147. DOI:10.13767/j.cnki.cn64-1011/j.2026.03.018.</w:t>
      </w:r>
      <w:r>
        <w:rPr>
          <w:rFonts w:hint="eastAsia"/>
          <w:lang w:val="en-US" w:eastAsia="zh-CN"/>
        </w:rPr>
        <w:t>(Chinese with English abstract)</w:t>
      </w:r>
      <w:bookmarkEnd w:id="62"/>
    </w:p>
    <w:p w14:paraId="2A1EE852">
      <w:pPr>
        <w:keepNext w:val="0"/>
        <w:keepLines w:val="0"/>
        <w:pageBreakBefore w:val="0"/>
        <w:widowControl w:val="0"/>
        <w:numPr>
          <w:ilvl w:val="0"/>
          <w:numId w:val="1"/>
        </w:numPr>
        <w:kinsoku/>
        <w:wordWrap w:val="0"/>
        <w:overflowPunct/>
        <w:topLinePunct w:val="0"/>
        <w:autoSpaceDE/>
        <w:autoSpaceDN/>
        <w:bidi w:val="0"/>
        <w:adjustRightInd/>
        <w:snapToGrid/>
        <w:spacing w:before="0" w:beforeLines="0" w:after="0" w:afterLines="0" w:line="300" w:lineRule="auto"/>
        <w:ind w:left="425" w:leftChars="0" w:hanging="425" w:firstLineChars="0"/>
        <w:textAlignment w:val="auto"/>
        <w:rPr>
          <w:rFonts w:hint="default"/>
          <w:lang w:val="en-US" w:eastAsia="zh-CN"/>
        </w:rPr>
      </w:pPr>
      <w:r>
        <w:rPr>
          <w:rFonts w:hint="default"/>
          <w:lang w:val="en-US" w:eastAsia="zh-CN"/>
        </w:rPr>
        <w:t xml:space="preserve">Li S. Research on digital preservation strategies of oral histories of Nan Yin inheritors[J/OL]. Journal of Fuzhou University (Philosophy and Social Sciences Edition):1-7. [Accessed 14 July 2026]. https://link.cnki.net/urlid/35.1048.C.20260709.1057.004. </w:t>
      </w:r>
      <w:bookmarkEnd w:id="54"/>
      <w:r>
        <w:rPr>
          <w:rFonts w:hint="eastAsia"/>
          <w:lang w:val="en-US" w:eastAsia="zh-CN"/>
        </w:rPr>
        <w:t>(Chinese with English abstract)</w:t>
      </w:r>
      <w:bookmarkEnd w:id="63"/>
    </w:p>
    <w:p w14:paraId="46D9AF3A">
      <w:pPr>
        <w:keepNext w:val="0"/>
        <w:keepLines w:val="0"/>
        <w:pageBreakBefore w:val="0"/>
        <w:widowControl w:val="0"/>
        <w:numPr>
          <w:ilvl w:val="0"/>
          <w:numId w:val="0"/>
        </w:numPr>
        <w:kinsoku/>
        <w:wordWrap w:val="0"/>
        <w:overflowPunct/>
        <w:topLinePunct w:val="0"/>
        <w:autoSpaceDE/>
        <w:autoSpaceDN/>
        <w:bidi w:val="0"/>
        <w:adjustRightInd/>
        <w:snapToGrid/>
        <w:spacing w:before="0" w:beforeLines="0" w:after="0" w:afterLines="0" w:line="300" w:lineRule="auto"/>
        <w:ind w:leftChars="0"/>
        <w:textAlignment w:val="auto"/>
        <w:rPr>
          <w:rFonts w:hint="default"/>
          <w:lang w:val="en-US" w:eastAsia="zh-CN"/>
        </w:rPr>
      </w:pPr>
    </w:p>
    <w:sectPr>
      <w:footerReference r:id="rId6" w:type="default"/>
      <w:pgSz w:w="11906" w:h="16838"/>
      <w:pgMar w:top="1440" w:right="1440" w:bottom="1440" w:left="144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2F2B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13CEF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E13CEF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B273B">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411BA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5411BA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98013A"/>
    <w:multiLevelType w:val="singleLevel"/>
    <w:tmpl w:val="5698013A"/>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5F5A78"/>
    <w:rsid w:val="07D96C64"/>
    <w:rsid w:val="0B756CA4"/>
    <w:rsid w:val="0F8120BC"/>
    <w:rsid w:val="0F890CD0"/>
    <w:rsid w:val="11222081"/>
    <w:rsid w:val="14101C60"/>
    <w:rsid w:val="166308D9"/>
    <w:rsid w:val="16783BA1"/>
    <w:rsid w:val="16AD7C3A"/>
    <w:rsid w:val="17824CEE"/>
    <w:rsid w:val="17A84463"/>
    <w:rsid w:val="181865D9"/>
    <w:rsid w:val="195D3173"/>
    <w:rsid w:val="1AE14A63"/>
    <w:rsid w:val="1C5B514C"/>
    <w:rsid w:val="1D1D6837"/>
    <w:rsid w:val="1D1E6063"/>
    <w:rsid w:val="1E74103D"/>
    <w:rsid w:val="1F1559C4"/>
    <w:rsid w:val="214467A1"/>
    <w:rsid w:val="21DF0EC4"/>
    <w:rsid w:val="28410AB1"/>
    <w:rsid w:val="28E74A71"/>
    <w:rsid w:val="29E1696D"/>
    <w:rsid w:val="2C037D24"/>
    <w:rsid w:val="2E772BB0"/>
    <w:rsid w:val="2FCB7E61"/>
    <w:rsid w:val="3115045E"/>
    <w:rsid w:val="34B61535"/>
    <w:rsid w:val="34D33C2A"/>
    <w:rsid w:val="36CC5A63"/>
    <w:rsid w:val="370D2AA4"/>
    <w:rsid w:val="388F6D48"/>
    <w:rsid w:val="38F1355F"/>
    <w:rsid w:val="3914724D"/>
    <w:rsid w:val="393A6798"/>
    <w:rsid w:val="3C415592"/>
    <w:rsid w:val="3DC9047D"/>
    <w:rsid w:val="3F5B5C7D"/>
    <w:rsid w:val="40D71B82"/>
    <w:rsid w:val="42042555"/>
    <w:rsid w:val="42642FF3"/>
    <w:rsid w:val="42725710"/>
    <w:rsid w:val="4283791D"/>
    <w:rsid w:val="43C03098"/>
    <w:rsid w:val="441E71D2"/>
    <w:rsid w:val="443448FA"/>
    <w:rsid w:val="4557756A"/>
    <w:rsid w:val="471051AE"/>
    <w:rsid w:val="48EA5EAF"/>
    <w:rsid w:val="4B271062"/>
    <w:rsid w:val="4BDB4D64"/>
    <w:rsid w:val="4C4D68A6"/>
    <w:rsid w:val="4FD55E3A"/>
    <w:rsid w:val="4FFC0D0F"/>
    <w:rsid w:val="507C1E50"/>
    <w:rsid w:val="515F5A78"/>
    <w:rsid w:val="54D1195D"/>
    <w:rsid w:val="56A83DD4"/>
    <w:rsid w:val="5B9E2C7A"/>
    <w:rsid w:val="5C8E2CEF"/>
    <w:rsid w:val="5E8E28E1"/>
    <w:rsid w:val="62C32502"/>
    <w:rsid w:val="62C531E2"/>
    <w:rsid w:val="63477AB6"/>
    <w:rsid w:val="642F125B"/>
    <w:rsid w:val="64DD4813"/>
    <w:rsid w:val="6624387D"/>
    <w:rsid w:val="6663201D"/>
    <w:rsid w:val="681306CB"/>
    <w:rsid w:val="68BB0606"/>
    <w:rsid w:val="6D6B370E"/>
    <w:rsid w:val="71BD7008"/>
    <w:rsid w:val="72AD48FD"/>
    <w:rsid w:val="73ED4347"/>
    <w:rsid w:val="75DA14E0"/>
    <w:rsid w:val="7C30396B"/>
    <w:rsid w:val="7E0B3D48"/>
    <w:rsid w:val="7E7D6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auto"/>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50" w:beforeLines="50" w:beforeAutospacing="0" w:after="50" w:afterLines="50" w:afterAutospacing="0" w:line="576" w:lineRule="auto"/>
      <w:outlineLvl w:val="0"/>
    </w:pPr>
    <w:rPr>
      <w:rFonts w:eastAsiaTheme="majorEastAsia"/>
      <w:b/>
      <w:kern w:val="44"/>
      <w:sz w:val="28"/>
    </w:rPr>
  </w:style>
  <w:style w:type="paragraph" w:styleId="3">
    <w:name w:val="heading 2"/>
    <w:basedOn w:val="1"/>
    <w:next w:val="1"/>
    <w:link w:val="18"/>
    <w:unhideWhenUsed/>
    <w:qFormat/>
    <w:uiPriority w:val="0"/>
    <w:pPr>
      <w:keepNext/>
      <w:keepLines/>
      <w:spacing w:before="100" w:beforeLines="100" w:beforeAutospacing="0" w:after="50" w:afterLines="50" w:afterAutospacing="0" w:line="360" w:lineRule="auto"/>
      <w:outlineLvl w:val="1"/>
    </w:pPr>
    <w:rPr>
      <w:rFonts w:eastAsia="黑体"/>
      <w:b/>
    </w:rPr>
  </w:style>
  <w:style w:type="paragraph" w:styleId="4">
    <w:name w:val="heading 3"/>
    <w:basedOn w:val="1"/>
    <w:next w:val="1"/>
    <w:link w:val="17"/>
    <w:unhideWhenUsed/>
    <w:qFormat/>
    <w:uiPriority w:val="0"/>
    <w:pPr>
      <w:keepNext/>
      <w:keepLines/>
      <w:spacing w:beforeLines="0" w:beforeAutospacing="0" w:afterLines="0" w:afterAutospacing="0" w:line="300" w:lineRule="auto"/>
      <w:outlineLvl w:val="2"/>
    </w:pPr>
    <w:rPr>
      <w:b/>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Times New Roman" w:hAnsi="Times New Roman" w:eastAsia="黑体"/>
      <w:sz w:val="20"/>
    </w:r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 w:type="character" w:customStyle="1" w:styleId="17">
    <w:name w:val="标题 3 Char"/>
    <w:link w:val="4"/>
    <w:qFormat/>
    <w:uiPriority w:val="0"/>
    <w:rPr>
      <w:rFonts w:eastAsiaTheme="minorEastAsia"/>
      <w:b/>
      <w:sz w:val="24"/>
    </w:rPr>
  </w:style>
  <w:style w:type="character" w:customStyle="1" w:styleId="18">
    <w:name w:val="标题 2 Char"/>
    <w:link w:val="3"/>
    <w:qFormat/>
    <w:uiPriority w:val="0"/>
    <w:rPr>
      <w:rFonts w:eastAsia="黑体"/>
      <w:b/>
    </w:r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1602</Words>
  <Characters>11119</Characters>
  <Lines>0</Lines>
  <Paragraphs>0</Paragraphs>
  <TotalTime>5</TotalTime>
  <ScaleCrop>false</ScaleCrop>
  <LinksUpToDate>false</LinksUpToDate>
  <CharactersWithSpaces>12669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2026-07-22T09:20:00Z</dcterms:created>
  <dc:creator>sharkclip</dc:creator>
  <cp:lastModifiedBy>陈玉洁</cp:lastModifiedBy>
  <dcterms:modified xsi:type="dcterms:W3CDTF">2026-08-31T09:12:12Z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30E977CC988D42B4AF59FEC3DF8CFA6C_13</vt:lpwstr>
  </property>
  <property fmtid="{D5CDD505-2E9C-101B-9397-08002B2CF9AE}" pid="4" name="KSOTemplateDocerSaveRecord">
    <vt:lpwstr>eyJoZGlkIjoiZDRmZjIxMDAzNmI0YWM0ZDkxOTdkZTFjNzBjOGMzNTEiLCJ1c2VySWQiOiIzNDUyNDE5OTkifQ==</vt:lpwstr>
  </property>
</Properties>
</file>