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已应用到信息咨询、医学影像、电子病历等方面，其中在医学影像上进展最快。</w:t>
        <w:br/>
        <w:t xml:space="preserve">　　“我国食管癌高发，但早癌诊断落后于发达国家。”徐国良分析，我国早癌发现率低的原因主要有两点，一方面，医生普遍工作量大，难以保证对患者的精细核查；另外，早癌表现难以察觉，比如早期食管癌，从内镜观察，症状往往表现为局部充血、黏膜粗糙或细微糜烂，同一般炎症非常相似，一些经验不足的医生很容易忽视。</w:t>
        <w:br/>
        <w:t xml:space="preserve">　　“当知道AI能学习看内镜照片的时候，我们很欢迎，因为AI能对医生主观的疏忽做出弥补。”徐国良说，2016年底，中山大学附属肿瘤医院把积累的10多万张脱敏的食管内镜照片提供给腾讯觅影用于科研，AI通过深度学习大量照片数据，形成一套检查标准，可以显著提高早癌发现率。</w:t>
        <w:br/>
        <w:t xml:space="preserve">　　在浙江省人民医院，腾讯觅影已用于食管癌、糖尿病视网膜病变、肺结节（用于诊断早期肺癌）的筛查发现工作。实验环境下，AI系统对前两种疾病的发现准确率超过90%，对肺结节的发现准确率达85%。</w:t>
        <w:br/>
        <w:t xml:space="preserve">　　浙江省人民医院院长黄东胜认为，借助AI来分析胸片、CT、病理切片等影像资料，提高了看片效率，把医生从辛苦的重复工作中解放出来。“这有助于医生投身于攻克既往经验缺乏的罕见病、疑难杂症，这些才是目前机器无法学习的。”</w:t>
        <w:br/>
        <w:t xml:space="preserve">　　社会认可度提升，技术实用性增强</w:t>
        <w:br/>
        <w:t xml:space="preserve">　　常佳告诉记者，腾讯觅影自2017年8月推出，已同全国30多家三甲医院组建“人工智能医学联合实验室”，“如今，AI对行业的渗透在增加，社会认可度在提升，技术实用性在增强。”</w:t>
        <w:br/>
        <w:t xml:space="preserve">　　但在现阶段，医疗AI的前景并非一路坦途。</w:t>
        <w:br/>
        <w:t xml:space="preserve">　　“在技术上，医学影像设备与AI系统的兼容是个问题。不同厂商的拍照设备、数据格式和图片质量都不同，这给机器学习的准确性带来干扰。另外，各地医院的AI数据库需要精细微调，AI诊断的准确性可能受地域影响，同一疾病在不同地区会呈现微小的数据差别，对此技术人员正在解决。”常佳说。</w:t>
        <w:br/>
        <w:t xml:space="preserve">　　“在用户习惯上，老百姓对人机交互还停留在触控方式为主，不习惯与机器人直接说话交流。还有一些人不信任机器，只选择求助于人，这说明社会要完全接受新技术还需时间。”国家喜说。</w:t>
        <w:br/>
        <w:t xml:space="preserve">　　在宏观上，阎威武指出，医疗AI的发展面临如下几个障碍：一是行业认可，医生对AI持观望态度，这项新技术尚未完全取得医学界信任；二是数据资源，政策上还没有完全开放，对居民健康数据的隐私、权属等问题有待明确；三是法律伦理，AI既不是传统医疗设备，也不是人类，对它如何进行技术认证？医疗事故责任怎么认定？这都值得讨论，毕竟AI辅助的准确率尚未达到100%。</w:t>
        <w:br/>
        <w:t xml:space="preserve">　　“最重要的，是对医疗AI的解释问题。”阎威武说，“医学是一门严肃的学问，诊断病症有一套传统逻辑，但AI正在挑战这种逻辑。尽管它能达到乃至超越医生诊断的准确性，但它基于大数据的诊断原理和医生运用医学知识做诊断是不一样的，对这种不同于既往医学规律的新技术的可解释性，影响着医学界对AI的接受度。”</w:t>
        <w:br/>
        <w:t xml:space="preserve">　　尽管离普及尚有距离，但许多业内人士对医疗AI的发展持乐观态度。</w:t>
        <w:br/>
        <w:t xml:space="preserve">　　“综合来看，中国在医疗AI上的水平仅次于美国，发展非常快，在很多AI竞赛中成绩突出，我们是国际领先的。”阎威武说，工信部此前印发《促进新一代人工智能产业发展三年行动计划（2018—2020年）》，重点培育的8类智能产品中，就有医疗影像辅助诊断系统。“行动计划的推出，给定了时间表，给出了发展路径，具体的要求都提出来了，我认为在这个领域很快会实现产业化。”</w:t>
        <w:br/>
        <w:t xml:space="preserve">　　“有些人对AI的安全性心存忧虑。站在医院管理者的角度，我觉得面对一项新技术，不能一开始就抗拒它，而要先去了解它，如果验证是好的，就应该主动去拥抱。”黄东胜说，“通过医生和技术人员不断合作，我认为医疗AI会越学越聪明，未来能向人们提供更高水平的服务。”</w:t>
        <w:br/>
        <w:t xml:space="preserve">　　几年时间，东北的经济运行、营商环境、观念意识已发生较大变化。一些嗅觉灵敏的国内外机构，开始加快步伐投资布局东北</w:t>
        <w:br/>
        <w:t xml:space="preserve">　　</w:t>
        <w:br/>
        <w:t xml:space="preserve">　　近日，记者在沈阳陆续采访调研多家中小微企业，这些企业有的是新模式，有的是新技术、新产品，还有的是新业态，还有一个特点是都获得了外地投资机构的融资，规模从数千万到数亿元不等。</w:t>
        <w:br/>
        <w:t xml:space="preserve">　　这并非偶然现象。在一些舆论借由个案轮番唱衰、唱空东北时，一些嗅觉灵敏的国内外机构，却加快步伐投资布局东北。</w:t>
        <w:br/>
        <w:t xml:space="preserve">　　从2013年开始，“唱衰”东北与东北经济大幅下滑相伴相生。经过几年时间，东北的经济运行、营商环境、观念意识已发生较大变化。</w:t>
        <w:br/>
        <w:t xml:space="preserve">　　从地方政府观念意识看，数年经济下滑，倒逼各地转变观念，树立问题导向，逐个破解体制机制难题。各地开始真正重视营商环境，倒逼环境提升，市场意识、服务意识提高。</w:t>
        <w:br/>
        <w:t xml:space="preserve">　　从经济运行看，2017年辽、吉、黑三省GDP增速分别为4.2%、5.3%和6.4%，虽然仍低于6.9%的全国平均增速，但纵向比，增速在提升，规上工业产值和利润增幅双升，筑底企稳态势明朗，新兴产业构成的新经济、新动能在加速，种种指标表明，东北经济的底部区域正在夯实。</w:t>
        <w:br/>
        <w:t xml:space="preserve">　　从营商环境看，变化更大。政府诚信意识在提高，企业注册开工时间、成本在缩短，承诺制、容缺制大面积施行；乱检查、乱收费、乱罚款大幅减少；破坏营商环境的行为成过街老鼠被严惩……国家发改委振兴司委托第三方调查显示，和5年前相比，东北的营商环境有很大改善。</w:t>
        <w:br/>
        <w:t xml:space="preserve">　　当然，东北地区仍存在不少问题，市场意识较弱、等靠要思想存在……有一些问题还会长期存在，但这并不妨碍来东北地区投资赚钱。由于多年唱衰，一些金融投资机构对东北项目选择性屏蔽，东北企业、项目因地域遭冷遇，在资本市场估值明显低于南方同行业；也因被频频唱衰，东北地区大多数地方政府决策者对投资机构求贤若渴，礼遇有加。这些都是投资东北的理由。</w:t>
        <w:br/>
        <w:br/>
        <w:t xml:space="preserve">　　中华人民共和国主席令</w:t>
        <w:br/>
        <w:t xml:space="preserve">　　第八十五号</w:t>
        <w:br/>
        <w:t xml:space="preserve">　　《中华人民共和国船舶吨税法》已由中华人民共和国第十二届全国人民代表大会常务委员会第三十一次会议于2017年12月27日通过，现予公布，自2018年7月1日起施行。</w:t>
        <w:br/>
        <w:t xml:space="preserve">　　中华人民共和国主席  习近平   </w:t>
        <w:br/>
        <w:t xml:space="preserve">　　2017年12月27日</w:t>
        <w:br/>
        <w:t xml:space="preserve">　　</w:t>
        <w:br/>
        <w:t xml:space="preserve">　　第一条  自中华人民共和国境外港口进入境内港口的船舶（以下称应税船舶），应当依照本法缴纳船舶吨税（以下简称吨税）。</w:t>
        <w:br/>
        <w:t xml:space="preserve">　　第二条  吨税的税目、税率依照本法所附的《吨税税目税率表》执行。</w:t>
        <w:br/>
        <w:t xml:space="preserve">　　第三条  吨税设置优惠税率和普通税率。</w:t>
        <w:br/>
        <w:t xml:space="preserve">　　中华人民共和国籍的应税船舶，船籍国（地区）与中华人民共和国签订含有相互给予船舶税费最惠国待遇条款的条约或者协定的应税船舶，适用优惠税率。</w:t>
        <w:br/>
        <w:t xml:space="preserve">　　其他应税船舶，适用普通税率。</w:t>
        <w:br/>
        <w:t xml:space="preserve">　　第四条  吨税按照船舶净吨位和吨税执照期限征收。</w:t>
        <w:br/>
        <w:t xml:space="preserve">　　应税船舶负责人在每次申报纳税时，可以按照《吨税税目税率表》选择申领一种期限的吨税执照。</w:t>
        <w:br/>
        <w:t xml:space="preserve">　　第五条  吨税的应纳税额按照船舶净吨位乘以适用税率计算。</w:t>
        <w:br/>
        <w:t xml:space="preserve">　　第六条  吨税由海关负责征收。海关征收吨税应当制发缴款凭证。</w:t>
        <w:br/>
        <w:t xml:space="preserve">　　应税船舶负责人缴纳吨税或者提供担保后，海关按照其申领的执照期限填发吨税执照。</w:t>
        <w:br/>
        <w:t xml:space="preserve">　　第七条  应税船舶在进入港口办理入境手续时，应当向海关申报纳税领取吨税执照，或者交验吨税执照（或者申请核验吨税执照电子信息）。应税船舶在离开港口办理出境手续时，应当交验吨税执照（或者申请核验吨税执照电子信息）。</w:t>
        <w:br/>
        <w:t xml:space="preserve">　　应税船舶负责人申领吨税执照时，应当向海关提供下列文件：</w:t>
        <w:br/>
        <w:t xml:space="preserve">　　（一）船舶国籍证书或者海事部门签发的船舶国籍证书收存证明；</w:t>
        <w:br/>
        <w:t xml:space="preserve">　　（二）船舶吨位证明。</w:t>
        <w:br/>
        <w:t xml:space="preserve">　　应税船舶因不可抗力在未设立海关地点停泊的，船舶负责人应当立即向附近海关报告，并在不可抗力原因消除后，依照本法规定向海关申报纳税。</w:t>
        <w:br/>
        <w:t xml:space="preserve">　　第八条  吨税纳税义务发生时间为应税船舶进入港口的当日。</w:t>
        <w:br/>
        <w:t xml:space="preserve">　　应税船舶在吨税执照期满后尚未离开港口的，应当申领新的吨税执照，自上一次执照期满的次日起续缴吨税。</w:t>
        <w:br/>
        <w:t xml:space="preserve">　　第九条  下列船舶免征吨税：</w:t>
        <w:br/>
        <w:t xml:space="preserve">　　（一）应纳税额在人民币五十元以下的船舶；</w:t>
        <w:br/>
        <w:t xml:space="preserve">　　（二）自境外以购买、受赠、继承等方式取得船舶所有权的初次进口到港的空载船舶；</w:t>
        <w:br/>
        <w:t xml:space="preserve">　　（三）吨税执照期满后二十四小时内不上下客货的船舶；</w:t>
        <w:br/>
        <w:t xml:space="preserve">　　（四）非机动船舶（不包括非机动驳船）；</w:t>
        <w:br/>
        <w:t xml:space="preserve">　　（五）捕捞、养殖渔船；</w:t>
        <w:br/>
        <w:t xml:space="preserve">　　（六）避难、防疫隔离、修理、改造、终止运营或者拆解，并不上下客货的船舶；</w:t>
        <w:br/>
        <w:t xml:space="preserve">　　（七）军队、武装警察部队专用或者征用的船舶；</w:t>
        <w:br/>
        <w:t xml:space="preserve">　　（八）警用船舶；</w:t>
        <w:br/>
        <w:t xml:space="preserve">　　（九）依照法律规定应当予以免税的外国驻华使领馆、国际组织驻华代表机构及其有关人员的船舶；</w:t>
        <w:br/>
        <w:t xml:space="preserve">　　（十）国务院规定的其他船舶。</w:t>
        <w:br/>
        <w:t xml:space="preserve">　　前款第十项免税规定，由国务院报全国人民代表大会常务委员会备案。</w:t>
        <w:br/>
        <w:t xml:space="preserve">　　第十条  在吨税执照期限内，应税船舶发生下列情形之一的，海关按照实际发生的天数批注延长吨税执照期限：</w:t>
        <w:br/>
        <w:t xml:space="preserve">　　（一）避难、防疫隔离、修理、改造，并不上下客货；</w:t>
        <w:br/>
        <w:t xml:space="preserve">　　（二）军队、武装警察部队征用。</w:t>
        <w:br/>
        <w:t xml:space="preserve">　　第十一条  符合本法第九条第一款第五项至第九项、第十条规定的船舶，应当提供海事部门、渔业船舶管理部门或者出入境检验检疫部门等部门、机构出具的具有法律效力的证明文件或者使用关系证明文件，申明免税或者延长吨税执照期限的依据和理由。</w:t>
        <w:br/>
        <w:t xml:space="preserve">　　第十二条  应税船舶负责人应当自海关填发吨税缴款凭证之日起十五日内缴清税款。未按期缴清税款的，自滞纳税款之日起至缴清税款之日止，按日加收滞纳税款万分之五的税款滞纳金。</w:t>
        <w:br/>
        <w:t xml:space="preserve">　　第十三条  应税船舶到达港口前，经海关核准先行申报并办结出入境手续的，应税船舶负责人应当向海关提供与其依法履行吨税缴纳义务相适应的担保；应税船舶到达港口后，依照本法规定向海关申报纳税。</w:t>
        <w:br/>
        <w:t xml:space="preserve">　　下列财产、权利可以用于担保：</w:t>
        <w:br/>
        <w:t xml:space="preserve">　　（一）人民币、可自由兑换货币；</w:t>
        <w:br/>
        <w:t xml:space="preserve">　　（二）汇票、本票、支票、债券、存单；</w:t>
        <w:br/>
        <w:t xml:space="preserve">　　（三）银行、非银行金融机构的保函；</w:t>
        <w:br/>
        <w:t xml:space="preserve">　　（四）海关依法认可的其他财产、权利。</w:t>
        <w:br/>
        <w:t xml:space="preserve">　　第十四条  应税船舶在吨税执照期限内，因修理、改造导致净吨位变化的，吨税执照继续有效。应税船舶办理出入境手续时，应当提供船舶经过修理、改造的证明文件。</w:t>
        <w:br/>
        <w:t xml:space="preserve">　　第十五条  应税船舶在吨税执照期限内，因税目税率调整或者船籍改变而导致适用税率变化的，吨税执照继续有效。</w:t>
        <w:br/>
        <w:t xml:space="preserve">　　因船籍改变而导致适用税率变化的，应税船舶在办理出入境手续时，应当提供船籍改变的证明文件。</w:t>
        <w:br/>
        <w:t xml:space="preserve">　　第十六条  吨税执照在期满前毁损或者遗失的，应当向原发照海关书面申请核发吨税执照副本，不再补税。</w:t>
        <w:br/>
        <w:t xml:space="preserve">　　第十七条  海关发现少征或者漏征税款的，应当自应税船舶应当缴纳税款之日起一年内，补征税款。但因应税船舶违反规定造成少征或者漏征税款的，海关可以自应当缴纳税款之日起三年内追征税款，并自应当缴纳税款之日起按日加征少征或者漏征税款万分之五的税款滞纳金。</w:t>
        <w:br/>
        <w:t xml:space="preserve">　　海关发现多征税款的，应当在二十四小时内通知应税船舶办理退还手续，并加算银行同期活期存款利息。</w:t>
        <w:br/>
        <w:t xml:space="preserve">　　应税船舶发现多缴税款的，可以自缴纳税款之日起三年内以书面形式要求海关退还多缴的税款并加算银行同期活期存款利息；海关应当自受理退税申请之日起三十日内查实并通知应税船舶办理退还手续。</w:t>
        <w:br/>
        <w:t xml:space="preserve">　　应税船舶应当自收到本条第二款、第三款规定的通知之日起三个月内办理有关退还手续。</w:t>
        <w:br/>
        <w:t xml:space="preserve">　　第十八条  应税船舶有下列行为之一的，由海关责令限期改正，处二千元以上三万元以下的罚款；不缴或者少缴应纳税款的，处不缴或者少缴税款百分之五十以上五倍以下的罚款，但罚款不得低于二千元：</w:t>
        <w:br/>
        <w:t xml:space="preserve">　　（一）未按照规定申报纳税、领取吨税执照；</w:t>
        <w:br/>
        <w:t xml:space="preserve">　　（二）未按照规定交验吨税执照（或者申请核验吨税执照电子信息）以及提供其他证明文件。</w:t>
        <w:br/>
        <w:t xml:space="preserve">　　第十九条  吨税税款、税款滞纳金、罚款以人民币计算。</w:t>
        <w:br/>
        <w:t xml:space="preserve">　　第二十条  吨税的征收，本法未作规定的，依照有关税收征收管理的法律、行政法规的规定执行。</w:t>
        <w:br/>
        <w:t xml:space="preserve">　　第二十一条  本法及所附《吨税税目税率表》下列用语的含义：</w:t>
        <w:br/>
        <w:t xml:space="preserve">　　净吨位，是指由船籍国（地区）政府签发或者授权签发的船舶吨位证明书上标明的净吨位。</w:t>
        <w:br/>
        <w:t xml:space="preserve">　　非机动船舶，是指自身没有动力装置，依靠外力驱动的船舶。</w:t>
        <w:br/>
        <w:t xml:space="preserve">　　非机动驳船，是指在船舶登记机关登记为驳船的非机动船舶。</w:t>
        <w:br/>
        <w:t xml:space="preserve">　　捕捞、养殖渔船，是指在中华人民共和国渔业船舶管理部门登记为捕捞船或者养殖船的船舶。</w:t>
        <w:br/>
        <w:t xml:space="preserve">　　拖船，是指专门用于拖（推）动运输船舶的专业作业船舶。</w:t>
        <w:br/>
        <w:t xml:space="preserve">　　吨税执照期限，是指按照公历年、日计算的期间。</w:t>
        <w:br/>
        <w:t xml:space="preserve">　　第二十二条  本法自2018年7月1日起施行。2011年12月5日国务院公布的《中华人民共和国船舶吨税暂行条例》同时废止。</w:t>
        <w:br/>
        <w:t xml:space="preserve">　　附：见上表</w:t>
        <w:br/>
        <w:t xml:space="preserve">　　（新华社电）</w:t>
        <w:br/>
        <w:t xml:space="preserve">　　中华人民共和国主席令</w:t>
        <w:br/>
        <w:t xml:space="preserve">　　第八十四号</w:t>
        <w:br/>
        <w:t xml:space="preserve">　　《中华人民共和国烟叶税法》已由中华人民共和国第十二届全国人民代表大会常务委员会第三十一次会议于2017年12月27日通过，现予公布，自2018年7月1日起施行。</w:t>
        <w:br/>
        <w:t xml:space="preserve">　　中华人民共和国主席  习近平   </w:t>
        <w:br/>
        <w:t xml:space="preserve">　　2017年12月27日</w:t>
        <w:br/>
        <w:t xml:space="preserve">　　</w:t>
        <w:br/>
        <w:t xml:space="preserve">　　第一条  在中华人民共和国境内，依照《中华人民共和国烟草专卖法》的规定收购烟叶的单位为烟叶税的纳税人。纳税人应当依照本法规定缴纳烟叶税。</w:t>
        <w:br/>
        <w:t xml:space="preserve">　　第二条  本法所称烟叶，是指烤烟叶、晾晒烟叶。</w:t>
        <w:br/>
        <w:t xml:space="preserve">　　第三条  烟叶税的计税依据为纳税人收购烟叶实际支付的价款总额。</w:t>
        <w:br/>
        <w:t xml:space="preserve">　　第四条  烟叶税的税率为百分之二十。</w:t>
        <w:br/>
        <w:t xml:space="preserve">　　第五条  烟叶税的应纳税额按照纳税人收购烟叶实际支付的价款总额乘以税率计算。</w:t>
        <w:br/>
        <w:t xml:space="preserve">　　第六条  烟叶税由税务机关依照本法和《中华人民共和国税收征收管理法》的有关规定征收管理。</w:t>
        <w:br/>
        <w:t xml:space="preserve">　　第七条  纳税人应当向烟叶收购地的主管税务机关申报缴纳烟叶税。</w:t>
        <w:br/>
        <w:t xml:space="preserve">　　第八条  烟叶税的纳税义务发生时间为纳税人收购烟叶的当日。</w:t>
        <w:br/>
        <w:t xml:space="preserve">　　第九条  烟叶税按月计征，纳税人应当于纳税义务发生月终了之日起十五日内申报并缴纳税款。</w:t>
        <w:br/>
        <w:t xml:space="preserve">　　第十条  本法自2018年7月1日起施行。2006年4月28日国务院公布的《中华人民共和国烟叶税暂行条例》同时废止。</w:t>
        <w:br/>
        <w:t xml:space="preserve">　　（新华社电）</w:t>
        <w:br/>
        <w:br/>
        <w:t xml:space="preserve">　　1968年2月，来自全国各地的科技工作者汇集在北京市西城区木樨地，组建中国航天科工四院十七所（以下简称“十七所”），致力于国家急需的固体导弹控制系统研制工作，一段“服务国防、铸剑长空”的征程就此展开。</w:t>
        <w:br/>
        <w:t xml:space="preserve">　　半个世纪以来，十七所创造了一个又一个航天奇迹。1984年、1999年、2009年历次国庆大阅兵，十七所研制的大国利器引发广泛关注；“九三阅兵”“朱日和阅兵”，十七所贴近实战的强国重器，标注着装备建设的新高度。</w:t>
        <w:br/>
        <w:t xml:space="preserve">　　十七所所长张鹏表示，党的十九大对武器装备建设提出了更高要求。十七所将始终以总体国家安全观为引领，将装备建设任务放在首位，紧贴军队使命任务，紧贴军事斗争需要，紧贴装备发展要求，全力以赴完成国防武器装备建设任务。</w:t>
        <w:br/>
        <w:t xml:space="preserve">　　</w:t>
        <w:br/>
        <w:t xml:space="preserve">　　■服务国防</w:t>
        <w:br/>
        <w:t xml:space="preserve">　　不辱强军富国神圣使命</w:t>
        <w:br/>
        <w:t xml:space="preserve">　　据介绍，50年前，十七所的科技工作者在没有试验室的情况下，自己动手，因陋就简，将一个100多平方米的破旧食堂，改建成综合试验室。由于房屋矮小，加之出于保密、安全需要，把朝南面对生活区的几个大窗户全部堵死，空气无法流通，夏天又潮又湿，像个大蒸笼。而负载间却四处透风，遇到下雨下雪，房顶滴水不止。</w:t>
        <w:br/>
        <w:t xml:space="preserve">　　在这样艰苦的环境下，十七所创新突破了潜射导弹诸元快速解算、固体导弹大推力下摄动制导、出水大姿态等制导控制技术，攻关解决了控制系统设备小型化难题，“巨浪一号”一飞冲天，我国首次具备了潜基二次核打击能力。</w:t>
        <w:br/>
        <w:t xml:space="preserve">　　此后，十七所发射平台逐渐多元化，射程由近及远，逐步形成了海陆空天全覆盖的格局；同时，控制系统信息化、智能化程度大幅提高，在复杂环境下高精度打击能力、抗干扰能力等不断提升，先后获得国家科学技术进步特等奖等技术奖励和多项国家领域最高荣誉。</w:t>
        <w:br/>
        <w:t xml:space="preserve">　　“十二五”期间，十七所经济规模年均增长近20%；进入“十三五”，运行质量显著增强，各项经济指标再创新高，2016年增长率超过30%，2017年实现了70%以上的增长，进一步凸显了集团公司骨干单位的重要地位。</w:t>
        <w:br/>
        <w:t xml:space="preserve">　　张鹏说，十七所取得的成绩，离不开谦虚谨慎、稳扎稳打、集智攻关的科学态度。十七所始终保持严格管理、严肃纪律、严格把关的工作力度以及斗志高昂、顽强拼搏、誓夺全胜的精神面貌，不断强化全员政治意识、大局意识、核心意识和看齐意识，系统梳理科研生产流程，优化资源调配，识别风险短线，层层落实责任，严格考核奖惩，为筑牢国家安全基石发挥更重要的作用。</w:t>
        <w:br/>
        <w:t xml:space="preserve">　　■技术立所</w:t>
        <w:br/>
        <w:t xml:space="preserve">　　屹立科技创新战略高点</w:t>
        <w:br/>
        <w:t xml:space="preserve">　　作为武器系统控制总体所，十七所牢记武器装备精确打击和信息化使命，高度重视科技创新工作，坚持“技术立所，人才兴所”方针，始终把技术创新摆在首位，坚持稳步推进改革创新。</w:t>
        <w:br/>
        <w:t xml:space="preserve">　　十七所始终坚持“总体战略引领，重点项目驱动，关键核心在手”的创新发展思路，深化项目论证，在“十三五”立项方面取得了显著成效；狠抓关键节点，推动重大项目取得顺利进展；加强技术攻关，核心技术成果丰硕，极大地提升了专业技术优势和社会影响力。</w:t>
        <w:br/>
        <w:t xml:space="preserve">　　围绕控制系统智能化、“新三化”、实战化要求和现实增强、空间载荷等新的发展方向，十七所在国防基础科研重大项目、装备发展部共性技术等领域取得突破。不断的技术创新令十七所保持了在制导控制与信息技术领域的优势与活力，支撑武器装备研制和军民融合领域的拓展。</w:t>
        <w:br/>
        <w:t xml:space="preserve">　　为了进一步提升自身在我国武器装备精确打击领域的引领地位，十七所以国家级重大项目、背景型号研究为引领，坚持需求引领与技术推动相结合、长远发展与近期急需相结合的原则，在武器装备精确制导控制、C4ISR技术、系统综合与集成等领域突破了一系列关键技术，创新提出了大批支撑型号发展的关键技术方向，取得了多个型号的立项。</w:t>
        <w:br/>
        <w:t xml:space="preserve">　　■军民融合</w:t>
        <w:br/>
        <w:t xml:space="preserve">　　激发创新驱动发展活力</w:t>
        <w:br/>
        <w:t xml:space="preserve">　　十七所始终贯彻军民融合和创新驱动发展战略，开展新一代航天技术及其应用探索，服务国民经济主战场。</w:t>
        <w:br/>
        <w:t xml:space="preserve">　　遵循市场化运作规律和社会化发展思路，十七所组建市场创新智囊团队，通过开展前瞻性、针对性、储备性研究，紧紧把握时代脉搏、政策导向、市场方向、技术走向，确保产业发展不跑偏。在此基础上，十七所坚持“以市场为导向、以客户为中心”的市场经营理念，强化客户关系管理，建立信息库、客户资源库、产品库，形成快速信息获取、决策、执行、反馈机制，提升市场拓展能力。</w:t>
        <w:br/>
        <w:t xml:space="preserve">　　借助武器装备采购信息网、“专有云”、航天云网等信息化平台，十七所积极推广自身产品、服务和能力，打造线上线下相结合的市场营销新模式。</w:t>
        <w:br/>
        <w:t xml:space="preserve">　　目前，十七所拥有一支优秀的青年科研人才队伍。35岁以下青年440多人，青年占到全所职工总数的62%。近几年来，多个青年“双创”活动在十七所内竞相开展，为创新研发提供了不竭动力。十七所曾先后举办两届创新创意大赛，在中国航天科工集团内较早开展较为成熟的青年“双创”竞赛活动。不仅如此，十七所还组建了创新工作室，助力“双创”成果孵化。</w:t>
        <w:br/>
        <w:t xml:space="preserve">　　十七所青年“双创”产品曾受邀参加国际创新创业博览会，获得广泛关注。</w:t>
        <w:br/>
        <w:t xml:space="preserve">　　目前，十七所已创建3个集团级、6个院级、13个所级青创室，已经成为激发青年创新智慧、引领青年投身“三创新”的重要平台。创建各类青年双创团队（小组）100余个，基本实现青年全覆盖。十七所还鼓励人员交流交换，促进智慧碰撞，通过持续发力，十七所创新氛围愈加浓厚，一批批优秀航天青年协同创新，有力推动了国防装备现代化发展。</w:t>
        <w:br/>
        <w:t xml:space="preserve">　　■传承文化</w:t>
        <w:br/>
        <w:t xml:space="preserve">　　航天精神扛起栋梁之责</w:t>
        <w:br/>
        <w:t xml:space="preserve">　　当前，十七所已构建了以控制系统总体技术、C4ISR系统总体技术为牵引，以导航制导与控制等8个专业为核心，以惯性技术应用与研究等10个专业为支撑的专业技术体系，全力开展一系列处于国际前沿的项目研究和关键技术攻关，不断巩固“探索一代、预研一代、研制一代、生产一代”的研发格局。</w:t>
        <w:br/>
        <w:t xml:space="preserve">　　在十七所，以陈德仁、陈世年、栾恩杰院士为代表的老一代航天人精神代代传承，秉承“国家利益高于一切”的核心价值观，十七所与科技强军共命运，与航天报国共奋进，为实现民族复兴添砖加瓦、贡献力量。</w:t>
        <w:br/>
        <w:t xml:space="preserve">　　在铸造导弹武器“最强大脑”的过程中，十七所将技术立所、人才强所、产业兴所、全面发展作为战略方针，将建设国际先进、国内领先的控制与信息技术研究所作为战略目标，以智能控制作为一条主线，坚持以军为本、军民融合的双引擎发展思路，聚焦防务装备、航天产业、信息技术三大产业板块，以控制与信息技术协同发展为抓手，巩固实战化精确制导优势地位，以人工智能、现实增强、空间载荷、试验验证与鉴定评估领域为重点，拓展产业发展新方向，形成“控制对象多样化、海陆空天全覆盖”的发展格局，全面推进快速、协调、可持续发展。</w:t>
        <w:br/>
        <w:t xml:space="preserve">　　张鹏表示，未来，十七所将不断巩固和提升在行业内的战略地位，以无私奉献担顶梁之责，以赤胆忠心铸大国利器，为实现中华民族伟大复兴的中国梦不懈奋斗。</w:t>
        <w:br/>
        <w:t xml:space="preserve">　　作为国有政策性银行，中国进出口银行不遗余力支持绿色发展。截至目前，中国进出口银行绿色信贷余额突破1000亿元，5年来增加近800亿元，增长率超过300%，年均增长率超过60%，远超同期该行信贷平均增长率。</w:t>
        <w:br/>
        <w:t xml:space="preserve">　　进出口银行相关负责人表示，进出口银行向“绿色”倾斜的力度正不断加大。下一步，进出口银行还将重点围绕国际经济合作和开放型经济转型升级两个领域，为企业提供更具针对性和适应性的绿色金融服务，真正让绿色金融理念成就绿色发展。</w:t>
        <w:br/>
        <w:t xml:space="preserve">　　让天蓝水绿空气清新</w:t>
        <w:br/>
        <w:t xml:space="preserve">　　2018年，一批由我国制造的新一代超大型40万吨矿砂船将陆续下水出海。资料显示，该船能远航2.55万海里，装卸速度是一般船舶的两倍。新一代矿砂船在环保方面的表现更为突出，每天能节省20吨燃油，排放废气还不含硫氧化物。</w:t>
        <w:br/>
        <w:t xml:space="preserve">　　秋冬季节，当一些农民依然选择焚烧秸秆时，湖南益阳、双峰，安徽霍山、宣城等地的稻壳、秸秆农业废弃物已经变为生物质发电的燃料，不仅在这些地区产生了良好的环境效益，还为当地农民创造了增收和就业机会。</w:t>
        <w:br/>
        <w:t xml:space="preserve">　　这些项目背后都有进出口银行的融资支持。当绿色交通发展成为支撑国家生态环境根本好转的有力抓手，当清洁能源建设即将成为能源供应的重要保障，进出口银行充分履行了让“天更蓝、水更绿、空气更清新”的责任担当。</w:t>
        <w:br/>
        <w:t xml:space="preserve">　　据了解，进出口银行绿色信贷余额突破1000亿元的背后，是多达400个绿色信贷项目。经独立第三方评估机构测算，这些项目合计减少标准煤使用量约748万吨，二氧化碳减排当量约2767万吨。这相当于北京7万辆出租车15年的碳排放量，环保效益和社会效益非常显著。</w:t>
        <w:br/>
        <w:t xml:space="preserve">　　在大力发展绿色信贷的同时，进出口银行还注意严控产能过剩行业授信，对每一个产能过剩行业制定专门的授信政策，实行严格的限额和名单制管理，钢铁行业余额和集中度已连续三年实现“双下降”。</w:t>
        <w:br/>
        <w:t xml:space="preserve">　　老树结新果  新芽成大树</w:t>
        <w:br/>
        <w:t xml:space="preserve">　　2017年12月，进出口银行2017年第一期“债券通”绿色金融债券在上海成功发行。据了解，募集的绿色资金将用于支持“一带一路”沿线国家清洁能源应用发展和环境改善领域的绿色项目。</w:t>
        <w:br/>
        <w:t xml:space="preserve">　　在支持企业“走出去”、助力“一带一路”建设、开展国际产能合作等项目实施中，进出口银行始终积极贯彻绿色发展理念，助推中国企业履行绿色和社会责任，促进全球经济可持续发展。</w:t>
        <w:br/>
        <w:t xml:space="preserve">　　在埃塞俄比亚，当地百姓都熟知由进出口银行支持的阿达玛风电项目，因为它满足了人们的用电需求。但他们不知道的是，这是第一个采用中国资金、技术、标准、设备、设计、施工、咨询和运营管理服务整体出口的风电总承包项目，不仅助推了中国绿色企业全链条“走出去”，也提升了埃塞俄比亚利用清洁能源的能力，帮助其发展低碳产业，保护了生态环境。</w:t>
        <w:br/>
        <w:t xml:space="preserve">　　同样是在进出口银行的支持下，巴基斯坦旁遮普省900兆瓦光伏地面电站项目已实现并网发电。作为全球规模最大的单体太阳能发电项目，该电站每年可为巴基斯坦旁遮普省提供清洁电力12.6亿千瓦时，将极大地缓解当地电力紧缺现状。</w:t>
        <w:br/>
        <w:t xml:space="preserve">　　积极发展绿色信贷和绿色债券，也是绿色金融的重要内容。进出口银行已根据自身业务特点，建立了以转贷款、节能环保贷款、转型升级贷款、传统优势信贷产品为核心的绿色信贷产品体系。这些产品既支持传统产业升级换代，让“老树结新果”，又着力培育战略性新兴产业发展，让“新芽成大树”。</w:t>
        <w:br/>
        <w:t xml:space="preserve">　　除绿色债券、绿色信贷外，进出口银行还推出了碳资产咨询顾问和碳资产增信业务。</w:t>
        <w:br/>
        <w:t xml:space="preserve">　　既引进来也走出去</w:t>
        <w:br/>
        <w:t xml:space="preserve">　　2017年年底召开的中央经济工作会议指出，按照高质量发展的要求，在打好防范化解重大风险、精准脱贫、污染防治的攻坚战方面取得扎实进展。</w:t>
        <w:br/>
        <w:t xml:space="preserve">　　对此，进出口银行表示，打好污染防治攻坚战，要积极发展绿色金融，大力支持节能环保产业、清洁生产产业、清洁能源产业发展，加强对落后产能行业的限额管理，对高污染、高能耗项目进行严格限制。</w:t>
        <w:br/>
        <w:t xml:space="preserve">　　据悉，2018年，进出口银行将重点通过促进国际</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