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多样性维护、水土保持、防风固沙、水土流失控制等五大类9个片区。</w:t>
        <w:br/>
        <w:t xml:space="preserve">　　按照2017年中办、国办联合印发实施的《关于划定并严守生态保护红线的若干意见》要求，北京等15省份将陆续发布实施本行政区域生态保护红线。环境保护部、国家发展改革委将督促指导山西等其余16省份于2018年底前完成生态保护红线划定，并做好衔接、汇总，按要求最终形成生态保护红线全国“一张图”。</w:t>
        <w:br/>
        <w:t xml:space="preserve">　　目前，国家发展改革委已批复国家生态保护红线监管平台建设，总投资2.86亿元，土建前期工作已展开，预计2020年底前建成。国家生态保护红线监管平台将依托卫星遥感手段和地面生态系统监测站点，形成天—空—地一体化监控网络，获取生态保护红线监测数据，掌握生态系统构成、分布与动态变化，及时评估和预警生态风险，实时监控人类干扰活动，发现破坏生态保护红线的行为，并依法依规处理。</w:t>
        <w:br/>
        <w:t xml:space="preserve">　　本报北京2月13日电  （记者顾仲阳）国务院办公厅近日发布通知，辽宁五花顶、吉林园池湿地、黑龙江仙洞山梅花鹿、黑龙江朗乡、四川南莫且湿地和陕西红碱淖等6处新建国家级自然保护区已经国务院审定，将名单予以公布。</w:t>
        <w:br/>
        <w:t xml:space="preserve">　　通知称，新建国家级自然保护区的面积、范围和功能分区等由环境保护部另行公布。有关地区要按照批准的面积和范围组织勘界，落实自然保护区土地权属，并在规定的时限内标明区界，予以公告。有关地区和部门要严格落实生态环境保护责任，加强组织领导和协调配合，健全管理机构，加大资金投入，强化对涉及自然保护区各类环境违法违规行为的监管执法力度，妥善处理好自然保护区管理与当地经济社会发展及居民生产生活的关系，确保各项管理措施得到落实，不断提高国家级自然保护区建设和管理水平。</w:t>
        <w:br/>
        <w:t xml:space="preserve">　　春节临近，正是乍暖还寒时候，新疆巴音郭楞蒙古自治州博湖县的博斯腾湖落霞湾，几只白鹭、苍鹭相伴起舞，婀娜的身影与金黄的万亩芦苇荡相映成趣，一声声鸣啼唤醒了湖畔的村庄（如图）。</w:t>
        <w:br/>
        <w:t xml:space="preserve">　　博斯腾湖有野生鸟类120余种，是我国重要的野生鸟类栖息地。近年来，随着博斯腾湖湿地生态不断改善，越来越多候鸟“乐不思行”，在这里安家越冬。</w:t>
        <w:br/>
        <w:t xml:space="preserve">　　本报深圳2月13日电  （记者李刚）记者从中广核获悉：我国首个核能供暖示范项目启动，中广核将联合清华大学，采用成熟的NHR200—Ⅱ低温供热堆技术，在华北规划建设我国首个小型核能供暖示范项目。</w:t>
        <w:br/>
        <w:t xml:space="preserve">　　据介绍，在实现批量化模块化之后，低温供热堆建造、部署时间大大缩短，仅需2—3年即可建成。利用核能开展清洁供暖，将为我国调整能源结构、治理雾霾等提供新的选择。</w:t>
        <w:br/>
        <w:t xml:space="preserve">　　本报银川2月13日电  （记者朱磊）记者今天从宁夏六盘山林业局获悉：近日，该局证实六盘山确实拍摄到了野生金钱豹。六盘山国家级自然保护区素有“西北种质资源基因库”之称，林区总面积9万公顷，是宁夏境内最大的天然次生林、动植物和水资源最富集地区。这里有国家一级、二级保护动物数十种，金钱豹是国家一级保护动物。为了查明六盘山动植物资源，有关科考工作从未停止。1985年，六盘山保护区完成第一次综合科学考察；2009年至2012年，科考人员和六盘山保护区技术人员组队，先后对六盘山生物多样性、生物量等方面进行专项调查；2013年初，科研部门在林区动物活动频繁的地方悬挂红外监测仪；2017年，六盘山保护区启动金钱豹种群数量调查项目，在林区安装40台红外相机，日前拍摄到金钱豹视频。</w:t>
        <w:br/>
        <w:t xml:space="preserve">　　本报北京2月13日电  （记者赵贝佳）近日，中国气象局组织有关单位编制并发布《2017年大气环境气象公报》。</w:t>
        <w:br/>
        <w:t xml:space="preserve">　　公报显示，2017年供暖季气象条件有利于大气环境改善。2013年大气污染防治行动计划实施以来，大气环境持续改善，减排措施效果显著。</w:t>
        <w:br/>
        <w:t xml:space="preserve">　　2017年全国大气环境改善，全国平均霾日数27.5天，比2016年减少10.5天，比2013年减少19.4天。全国PM10、PM2.5平均浓度分别为75微克/立方米和43微克/立方米，比2016年降低5.1%、6.5%，比2013年降低22.7%、44.2%。2017年，大气二氧化氮、二氧化硫总量继续下降，全国大部地区酸雨减弱减少。</w:t>
        <w:br/>
        <w:t xml:space="preserve">　　全国大气环境改善的主要原因，一是大气污染防治行动计划实施以来减排效果显著。根据气象数值模拟计算结果显示，减排措施使2017年全国及京津冀、长三角和珠三角的平均PM2.5浓度较2013年分别降低45.3%、38.7%、32.4%和30.2%。二是2017年供暖季大气污染扩散气象条件总体偏好。2017年供暖季（1、2月及11、12月）冷空气影响次数偏多，小风日数和静稳天气少，有利于大气污染物扩散和大气环境的改善。</w:t>
        <w:br/>
        <w:t xml:space="preserve">　　值得关注的是，尽管大气环境呈现向好趋势，但冬季持续性、区域性霾和重污染天气过程仍时有发生，大气污染防治措施的落实力度不能放松。</w:t>
        <w:br/>
        <w:t xml:space="preserve">　　本报北京2月13日电  （记者孙秀艳）日前，环境保护部发布2018年1月空气质量状况，1月全国338个地级及以上城市平均优良天数比例为68.6%，同比上升8.6个百分点。PM2.5浓度为64微克/立方米，同比下降17.9%。PM10浓度为98微克/立方米，同比下降16.2%。</w:t>
        <w:br/>
        <w:t xml:space="preserve">　　1月，74个城市空气质量相对较差的后10位城市（从第七十四名到第六十五名）依次是：西安、邯郸、邢台、乌鲁木齐、徐州、石家庄、郑州、保定、济南和兰州市。相对较好的前10位城市（从第一名到第十名）依次是：海口、福州、张家口、舟山、厦门、丽水、贵阳、昆明、北京和拉萨市。</w:t>
        <w:br/>
        <w:t xml:space="preserve">　　京津冀区域13个城市1月平均优良天数比例为64.5%，同比上升28.3个百分点。长三角区域25个城市1月平均优良天数比例为61.2%，同比下降12.9个百分点。珠三角区域9个城市1月平均优良天数比例为71.0%，同比下降13.2个百分点。</w:t>
        <w:br/>
        <w:t xml:space="preserve">　　环保部同时通报了京津冀大气污染传输通道城市（即“2+26”城市）2017年10月至2018年1月环境空气质量有关情况。“2+26”城市PM2.5平均浓度均同比下降，27个城市PM2.5平均浓度降幅满足改善目标进度要求。济宁降幅最小，同比下降8.4%，尚未达到改善目标进度要求。</w:t>
        <w:br/>
        <w:t xml:space="preserve">　　日前，环保部发布了春节假日期间全国空气质量形势预报，经环境保护部中国环境监测总站与中央气象台联合会商，2018年2月15日（除夕）至21日（正月初六）春节假日期间，全国环境空气质量总体形势较好，大部分地区空气质量以良至轻度污染为主。</w:t>
        <w:br/>
        <w:t xml:space="preserve">　　受不利气象条件影响，华北和西北部分地区可能出现中至重度污染过程。</w:t>
        <w:br/>
        <w:t xml:space="preserve">　　根据2013—2017年春节期间烟花爆竹燃放影响分析，除夕至初一和初五，受烟花爆竹集中燃放影响，部分地区短时可能达到重度至严重污染水平。环保部建议公众尽量减少烟花爆竹燃放，过一个欢乐、祥和、文明、环保的春节。</w:t>
        <w:br/>
        <w:t xml:space="preserve">　　冬日正午的阳光洒落在协鑫新能源山东省郓城鑫华40兆瓦光伏扶贫电站的光伏大棚上。棚外寒风刺骨，棚内温暖如春，娃娃菜和小油菜在双层覆膜的保护下慵懒地舒展着新叶。</w:t>
        <w:br/>
        <w:t xml:space="preserve">　　这是郓城县侯咽集镇种植户徐长伟家的光伏大棚，当地因病致贫的贫困户张桂花正在大棚里劳作。协鑫集团开展“光伏扶贫”后，下属山东省郓城鑫华40兆瓦光伏扶贫电站租赁了她家6亩农田，每亩1200元的租金，加上张桂花务工收入和电站的扶贫款项，从2017年夏天到年底，张桂花一算，竟然到手四五千元。“晒着太阳就能赚钱，日头越强收益越高，这在以前，想都想不到。”张桂花乐呵呵地说。</w:t>
        <w:br/>
        <w:t xml:space="preserve">　　作为清洁能源发展的先行者，协鑫集团的光伏扶贫电站规模稳居国内前列，扶贫37935户，20年内承诺扶贫资金达20.7亿元。董事长朱共山说：“协鑫用绿色能源产业振兴着美丽乡村，让灿烂阳光照亮乡亲们的脱贫致富梦。”</w:t>
        <w:br/>
        <w:t xml:space="preserve">　　</w:t>
        <w:br/>
        <w:t xml:space="preserve">　　把扶贫项目做成精品工程</w:t>
        <w:br/>
        <w:t xml:space="preserve">　　郓城鑫华40兆瓦光伏扶贫电站2017年3月份并网发电，是山东省2016年第一批国家级扶贫项目，在建设之初就设计为农光互补模式。如今，这里已建成了173座三连栋大棚，保留了露天种植区，初步形成了“光伏+农业+扶贫”示范基地的规模。该电站每年可扶持贫困户约1600户，每户可获得每年3000元的光伏扶贫政策收入，帮助侯咽集镇近40%的贫困户脱贫。</w:t>
        <w:br/>
        <w:t xml:space="preserve">　　协鑫集团副董事长朱钰峰说，光伏扶贫是一条集产业扶贫、生态发展扶贫和清洁能源建设扶贫于一体的新路径。在光照资源条件较好的地区因地制宜开展光伏扶贫，既有利于扩大光伏发电市场，又有利于促进贫困人口稳收增收。</w:t>
        <w:br/>
        <w:t xml:space="preserve">　　2016年，国家发展改革委、国务院扶贫办等联合发布的《关于实施光伏发电扶贫工作的意见》要求，各地区应将光伏扶贫作为资产收益扶贫的重要方式，为打赢脱贫攻坚战增添新的力量。</w:t>
        <w:br/>
        <w:t xml:space="preserve">　　朱钰峰说，与以往的“输血式”扶贫不同，光伏扶贫项目属于持续“造血式”扶贫，老百姓脱贫之后不会返贫。以郓城鑫华光伏电站为例，不仅为当地贫困户每年提供大约3000元扶贫款，还通过土地流转、务工收入为当地老百姓丰富了创收渠道。</w:t>
        <w:br/>
        <w:t xml:space="preserve">　　“光伏电站扶贫是一项深入民心的民生工程，协鑫新能源将积极承担起社会责任，把相关项目做成精品工程。”协鑫新能源副总裁徐阳说，目前，协鑫新能源的光伏扶贫不仅是总量第一，还是多个“单打冠军”。</w:t>
        <w:br/>
        <w:t xml:space="preserve">　　2016年10月17日，国家能源局、国务院扶贫办两部委联合下发了《关于下达第一批光伏扶贫项目的通知》，在入围的70多家新能源企业中，协鑫新能源以250兆瓦的容量居于首位。截至2017年6月30日，协鑫新能源在如期建成上述国家级光伏扶贫电站的基础上，还建成了548兆瓦省级光伏扶贫电站，以798兆瓦的容量拔得全国“已建光伏扶贫电站”的头筹。徐阳说，公司手中还持有492兆瓦待建光伏扶贫电站指标，将按期于2018年6月30日前并网。届时，公司将以1290兆瓦的光伏扶贫电站总量，进一步巩固“行业第一”的优势。</w:t>
        <w:br/>
        <w:t xml:space="preserve">　　打造绿色扶贫标杆</w:t>
        <w:br/>
        <w:t xml:space="preserve">　　安徽金寨是集山区、库区和革命老区于一体的国家级扶贫开发重点县，也是首个国家高比例可再生能源示范县。一年前，协鑫集成中标了金寨汇金100兆瓦光伏扶贫电站项目，提供从设计、采购到施工的EPC总包服务。</w:t>
        <w:br/>
        <w:t xml:space="preserve">　　汇金光伏扶贫电站是金寨县政府投资建设的兜底扶贫项目，建设工期紧、任务急、标准高，而选址又是在山坡荒地，山高路陡、地形和生态环境复杂，部分施工区域山体倾角达到45度以上，施工难度极大。最终，协鑫集成的工程项目经理刘亚和与同事们克服重重困难，高质量地如期完成项目建设，同时，植被恢复工作进展良好，最大限度地保护了生态环境，守护了绿水青山。金寨汇金光伏电站在2017年12月3日全容量并网，日均发电20多万千瓦时，最高发电纪录达到42.6万千瓦时。每年除去各项成本后产生的收益约1500万元，可为4000个贫困户每户增收3750元。</w:t>
        <w:br/>
        <w:t xml:space="preserve">　　但这个冬天的两场大雪，让刘亚和内心有些担忧：“雪这么大，光伏电站情况怎么样？”</w:t>
        <w:br/>
        <w:t xml:space="preserve">　　大雪天气对光伏电站是场重大考验。光伏组件上有雪覆盖会大大减少整个系统的发电量，如果设计不合理或使用了质量差的支架，还会因积雪导致电站坍塌。1月3日金寨地区突降大雪，积雪量超过40厘米，道路通行受阻，刘亚和到中控室查看每个区域的视频监控，使用无人机勘察光伏厂区状况。由于前期设计时，光伏组件阵列倾角为26度，积雪可以自动从组件上滑落，但部分积雪从地面堆积到组件下方，影响发电。刘亚和迅速组织人员到光伏厂区清扫积雪，保证正常发电。</w:t>
        <w:br/>
        <w:t xml:space="preserve">　　1月4日，汇金光伏电站没有发电，5日发电7000千瓦时，6日增到1.4万千瓦时，到8日发电量回升到30.05万千瓦时。</w:t>
        <w:br/>
        <w:t xml:space="preserve">　　近期，协鑫集成获得了由中国光伏农业工作委员会等颁发的“中国最佳光伏扶贫企业奖”。自2017年11月以来，协鑫集成总计中标10个光伏电站EPC项目，共计超过260兆瓦。今年年初，公司连续中标河南宁陵11.4兆瓦项目及遂平县光伏扶贫电站10.8兆瓦项目，实现2018年度开门红。协鑫集成能源工程公司副总裁柴敬玉说，公司将在光伏扶贫及EPC领域持续发力，大力支持光伏精准扶贫，高质量完成光伏扶贫工程建设。</w:t>
        <w:br/>
        <w:t xml:space="preserve">　　一光多用 一地多收</w:t>
        <w:br/>
        <w:t xml:space="preserve">　　一座座光伏大棚像一个个聚宝盆。在安徽宿州埇桥区灰谷镇付湖村，根据当地光照条件与土壤性质，协鑫新能源设计建造了光伏异形棚，实现立体化农业生产。光伏大棚里，种着反季节蔬菜，棚外的光伏板下，则散养着本土麻鸡。村民赵燕说：“这一个一亩地的光伏大棚是个万元棚。”她给记者算账，临近春节，蔬菜价格好，大棚里种着的半亩地茄子和半亩地辣椒，大概能收成1万元。棚外养的麻鸡，全部销给本地企业做地方名吃“刘老二烧鸡”。此外，露天种植了600亩油用牡丹，亩产年收入4000元到6000元。“每年4月的牡丹花一开，吸引了附近的城里人来观赏，又带动村里农产品的销售。”</w:t>
        <w:br/>
        <w:t xml:space="preserve">　　乡村振兴，产业兴旺是重点。在协鑫新能源副总裁张耀邦看来，光伏与农业相结合，是产业兴旺实现精准扶贫、支持乡村繁荣建设的有效途径。张耀邦说，通过多年实践摸索，协鑫新能源探索出光伏农业“鑫”标准，使土地在发电与农业间合理分配，以“一光多用，一地多收”实现乡村、企业、农业共赢发展。</w:t>
        <w:br/>
        <w:t xml:space="preserve">　　光伏农业可持续发展需妥善处理好光伏电站阵列与农业生产间“争阳光、争空间、争土地”等问题，给农业生产留足要素。实践证明，通过合理设计的光伏农业可实现阳光与土地利用的最大化，是科技兴农富农的新路径。</w:t>
        <w:br/>
        <w:t xml:space="preserve">　　协鑫集团在安徽宿州因地制宜发展光伏油用牡丹种植、光伏青贮玉米和牧草生产，已种植光伏油用牡丹600余亩，同时，还配套种植了大量观赏牡丹，建设农业休闲采摘项目。在山东聊城，农光互补电站中白术等中药材种植使得当地农业产值增长了将近7倍。而郓城鑫华40兆瓦光伏扶贫电站建成了173座三连栋塑料大棚，保留了露天种植区，种植韭菜、药芹等农作物，与当地农产品超市合作打通销售。</w:t>
        <w:br/>
        <w:t xml:space="preserve">　　为了帮助农民发展产业，协鑫集团通过联合农业投资公司、科研机构、农业院校、农产品销售商等建立光伏扶贫共同体，使农业基础设施、农业技术、农产品销售等方面都能得到保障。围绕光伏牡丹产业，公司后期将携手合作伙伴推出更多附加产品。比如牡丹油、牡丹胶囊有助降低血糖，具有极高保健作用，牡丹籽榨油的废渣可做肥料。“我们希望能通过光伏扶贫实现与贫困户、乡村、产业共同发展，真真切切做到帮扶到村、帮扶到户。”张耀邦说。</w:t>
        <w:br/>
        <w:t xml:space="preserve">　　“长风几万里，吹度玉门关。”无论是否到过甘肃，中外朋友都对这个旅游大省充满憧憬和期待。</w:t>
        <w:br/>
        <w:t xml:space="preserve">　　2017年甘肃省接待游客2.39亿人次，实现旅游综合收入1580亿元，带动就业67万人。如今的甘肃迎来旅游发展新机遇，旅游资源大省正在向旅游强省扎实迈进。</w:t>
        <w:br/>
        <w:t xml:space="preserve">　　2月8日，甘肃省旅游产业发展大会在兰州召开，甘肃省委书记林铎、省长唐仁健出席会议并讲话。记者从会上获悉：甘肃省委、省政府日前印发了《关于加快建设旅游强省的意见》《关于加快乡村旅游发展的意见》《关于加快智慧旅游建设的意见》等系列文件，从顶层设计上打出了一套政策“组合拳”，吹响了全面建设旅游强省的“集结号”。</w:t>
        <w:br/>
        <w:t xml:space="preserve">　　提出49条具体政策意见</w:t>
        <w:br/>
        <w:t xml:space="preserve">　　“要想了解甘肃，就要走遍甘肃。”在甘肃省旅游产业发展大会上，林铎强调，甘肃要进一步增强旅游强省建设的紧迫感和使命感，深化旅游供给侧结构性改革，推动旅游业向高质量发展方向迈进，努力把旅游业打造成为绿色发展崛起的战略性支柱产业和综合性幸福产业。</w:t>
        <w:br/>
        <w:t xml:space="preserve">　　根据甘肃《关于加快建设旅游强省的意见》（以下简称《意见》），计划到2020年，全省旅游综合收入等主要指标在2017年基础上翻一番，旅游投资累计达到3200亿元，全省旅游人数达到4亿人次，旅游综合收入达到3100亿元，游客平均消费水平接近全国平均水平，实现旅游资源大省向旅游产业强省转变。</w:t>
        <w:br/>
        <w:t xml:space="preserve">　　《意见》从总体要求、主要任务、扶持政策、保障措施4个方面提出了促进旅游强省建设的49条具体政策意见，指导推进当前和今后一段时期甘肃旅游业改革发展各项工作。甘肃将充分发挥旅游业促进经济转型、增加群众收入、弘扬优秀文化、美化生态环境等功能，助推经济发展、山川秀美、民族团结、社会和谐、幸福美好新甘肃建设。</w:t>
        <w:br/>
        <w:t xml:space="preserve">　　《意见》围绕旅游强省建设总体目标，提出了7项重点工作任务：一是构建旅游发展新格局。着力打造一个龙头、两大区域旅游集散地、三大特色国际旅游目的地、四条旅游发展带、十大主题旅游线路、五个百强产业带动区。二是促进旅游业态产品转型升级。积极发展文化旅游、自驾车房车旅游、红色旅游、低空旅游等项目，推动旅游业态跨界融合。三是提升产业要素品质。丰富旅游商品供给、开发特色旅游餐饮、发展多元住宿业态，提升旅游产业综合效益。四是打造乡村旅游升级版。实施乡村旅游精品、乡村旅游精准扶贫、乡村旅游服务设施提升、“周末乡村游”产品打造等四大工程，促进乡村旅游提质增效。五是构建立体精准营销体系。包括提升旅游品牌形象、强化整合营销、放大节会效应等6个方面的具体任务。六是强化全域公共服务保障。七是培育壮大旅游市场主体。深化景区市场化改革、组建大型旅游集团、引进战略投资企业，以及扶持旅游小微企业。</w:t>
        <w:br/>
        <w:t xml:space="preserve">　　实现“一部手机游甘肃”</w:t>
        <w:br/>
        <w:t xml:space="preserve">　　在兰州周边大大小小的蔬菜暖棚内，农家乐正悄然兴起，游客们可以亲身体验采摘的乐趣，玩累了，吃一顿简单却风味十足的农家菜，体会悠然宁静的田园生活。</w:t>
        <w:br/>
        <w:t xml:space="preserve">　　近年来，甘肃旅游发展驶入快车道，观光、休闲、度假等旅游产品不断丰富，传统旅游业态、新兴旅游业态携手升级，基础设施建设、旅游公共服务齐头并进，旅游业作为幸福产业的成色更足。</w:t>
        <w:br/>
        <w:t xml:space="preserve">　　在甘肃省旅游产业发展大会上，唐仁健指出，要把甘肃建设成为世界知名、国内一流的丝路旅游目的地、户外体验大本营和自驾旅游黄金线，重点打好历史文化、生态体验、民族风情、红色旅游、乡村旅游和工业科技6张牌。</w:t>
        <w:br/>
        <w:t xml:space="preserve">　　据介绍，甘肃此次发布的《意见》在思路目标、任务举措等方面都有较大创新。目标定位方面，提出到2020年，全省旅游业增加值占全省GDP比重达到9%，把甘肃建设成为世界级丝路旅游目的地、中国户外体验大本营、西部自驾旅游黄金线。思路举措方面，突出全域旅游和业态跨界融合，提出以甘肃“旅游云”为支撑，实现“一部手机游甘肃”。品牌打造方面，首次提出了体现甘肃丝路文化特质，具有国际和市场感召力的甘肃旅游主题宣传口号“交响丝路·如意甘肃”。</w:t>
        <w:br/>
        <w:t xml:space="preserve">　　提高政策含金量</w:t>
        <w:br/>
        <w:t xml:space="preserve">　　《意见》把理顺景区管理体制机制作为深化旅游业改革发展的突破口，提出在严格保护生态的前提下，探索旅游资源所有权、管理权、经营权“三权”分置，建立权责分明、高效运转的景区管理体制。同时，深化景区市场化改革，按照景区管委会+旅游开发公司模式，百个重点景区构建产权明晰、富有活力的市场化经营机制，大景区率先建成符合现代企业制度的经营实体和市场主体。</w:t>
        <w:br/>
        <w:t xml:space="preserve">　　据了解，甘肃着力打造旅游政策洼地、服务高地，突出了政策含金量。例如，在财政支持方面，甘肃提出将省旅游产业发展专项资金增加到3亿元，在旅游淡季对省内各支线机场航班（含通用机场），按照市级省级1∶1的标准进行补贴等政策举措。</w:t>
        <w:br/>
        <w:t xml:space="preserve">　　“我们把旅游扶贫作为旅游业发展重要任务，提出实施乡村旅游精准扶贫工程。”甘肃省副省长何伟表示，甘肃正在深度贫困县集中扶持500个贫困村发展乡村旅游，力争到2020年乡村旅游总收入达到300亿元，吸纳50万名农民就业，充分发挥旅游在决胜脱贫攻坚战中的生力军作用。</w:t>
        <w:br/>
        <w:t xml:space="preserve">　　2月7日下午，中民投“爱心方程式”公益行动之工程师团授旗仪式在中民投上海总部隆重举行。来自中民未来旗下29家物业公司、近万名爱心工程师，将用技能为基层社区居民和农村困难群众提升生活质量。</w:t>
        <w:br/>
        <w:t xml:space="preserve">　　春节在全国开展“爱心维修”</w:t>
        <w:br/>
        <w:t xml:space="preserve">　　本次工程师团的授旗仪式，是中民投响应中央号召，助力新农村建设，参与乡村振兴一系列举措的标志。在活动现场，爱心工程师代表从中民投总裁李怀珍手中接过象征使命与责任的旗帜，中民投董事局秘书钟吉鹏，中民未来董事长、“爱心方程式”工程师团团长王晖等在场见证。</w:t>
        <w:br/>
        <w:t xml:space="preserve">　　据了解，这些工程技术人员将于春节期间，在全国各地开展“爱心维修”活动，深入农村基层，帮助有困难的群众解决生活问题。</w:t>
        <w:br/>
        <w:t xml:space="preserve">　　钟吉鹏在仪式现场致辞表示：“中民投始终坚信，要把资金投入到真正有利于社会进步的领域。唯有当企业创造的价值被社会所需要和认同，企业才得以实现可持续发展。”他同时表示，向工程师团帮助社区和贫困地区居民的爱心行动表示衷心的感谢和诚挚的敬意。</w:t>
        <w:br/>
        <w:t xml:space="preserve">　　发起“爱心方程式”公益行动</w:t>
        <w:br/>
        <w:t xml:space="preserve">　　中民投自2014年成立至今，秉承负责任投资的理念，积极布局与社会大众和民生紧密相关的新兴产业，促进产业升级和经济转型，致力于成为受人尊敬、值得信赖、国际领先的投资集团。</w:t>
        <w:br/>
        <w:t xml:space="preserve">　　去年11月30日，中民投正式发起“爱心方程式”系列公益行动。目前，中民投已经陆续孵化公益跑团、工程师团、讲师团、社区敬老、小太阳书包五大特色员工公益行动。每一位中民投员工将运用自己的特长或技能，为有需要的人贡献自己的一份力量，进一步实现中民投对社会的承诺。</w:t>
        <w:br/>
        <w:t xml:space="preserve">　　中民投董事局执行副主席李银珩表示，“爱心方程式”公益行动的核心，就是通过建立公益机制，打通员工参与公益事业的通道，孵化员工发起的创意公益项目，激发每一位中民投员工回馈社会的热情。“爱心方程式”公益行动关注养老、减贫、健康等几个领域，也与中民投的产业布局密切相关，随着中民投业务的发展，公益行动也将覆盖更多领域，逐步走向世界。</w:t>
        <w:br/>
        <w:t xml:space="preserve">　　成为“生活里的工程师”</w:t>
        <w:br/>
        <w:t xml:space="preserve">　　中民未来作为国内社区增值服务领域的标杆企业，是中民投旗下与社会民生、百姓生活最为紧密的一个板块。作为中国最大的社区管理公司，中民未来所有事业的根基就是社区。结合业务特色，中民未来搭建的公益工程师平台，让旗下29家公司的技术人员成为“生活里的工程师”，帮助更多军烈属、孤寡老人与贫困地区居民提升生活品质。</w:t>
        <w:br/>
        <w:t xml:space="preserve">　　截至2017年年底，中民未来在全国范围内管理的物业面积累计已达7.63亿平方米，覆盖155个城市，其中既有沿海发达地区的一线城市，也有经济发展尚欠发达的中、西部地区城市。</w:t>
        <w:br/>
        <w:t xml:space="preserve">　　核心阅读</w:t>
        <w:br/>
        <w:t xml:space="preserve">　　建立法律顾问制度，是推进全面依法治国的重要举措，有助于促进科学决策、建设法治政府、优化社会治理。一年来，山西省、市、县三级党委政府实现了法律顾问全覆盖；全省国有企业推行法律顾问制度及公司律师制度的新增600家。法律顾问在山西如何开展工作，发挥何种作用，还有哪些方面有待提升？</w:t>
        <w:br/>
        <w:t xml:space="preserve">　　</w:t>
        <w:br/>
        <w:t xml:space="preserve">　　2018年元旦前夕，当街坊邻居们正琢磨如何过节，太原市万柏林区下元街道张家兄弟却因拆迁款纷争闹得不可开交。</w:t>
        <w:br/>
        <w:t xml:space="preserve">　　为了帮助万柏林区拆迁“清零”，一个特殊的小组开进小区，他们就是社区法律顾问。目前，山西省市县三级党委政府及其所属部门不仅实现了法律顾问全覆盖，有条件的街办、乡镇甚至社区也拥有了法律顾问。像张家兄弟这样的家长里短，他们一上手，立刻条理清晰，疑难杂症迎刃而解。</w:t>
        <w:br/>
        <w:t xml:space="preserve">　　群众信得过</w:t>
        <w:br/>
        <w:t xml:space="preserve">　　深入一线调处民生纠纷</w:t>
        <w:br/>
        <w:t xml:space="preserve">　　下元街道大王社区2016年就启动城中村改造，到2017年底，绝大多数人家早已领了补偿，住进了安置新房，但张家兄弟迟迟达不成一致。</w:t>
        <w:br/>
        <w:t xml:space="preserve">　　下元街道司法所所长李霞找来社区法律顾问、山西勇立律所律师谢永利入户调解。原来，早在上世纪90年代，张家兄弟就开始闹纠纷。老大婚后分户，另批了宅基地，老宅基地随之变更到了弟弟名下。但老大始终觉得老人留下的院子，自己理应分一半，就占空地盖起了房子。如今，一个院子，兄弟各有各的房屋。</w:t>
        <w:br/>
        <w:t xml:space="preserve">　　然而，拆迁补偿方案以院子为单位，按宅基地面积大小补偿，此外，若按时拆迁，每证（宅基地证）还奖励100万元。老大认为：所有补偿应该一人一半。老二觉得：宅基地使用权在自己名下，奖励应该完全归自己。</w:t>
        <w:br/>
        <w:t xml:space="preserve">　　谢永利以法明理：宅基地归村集体所有，不能作为遗产继承，老大无权多占一半；宅基地使用权虽然登记在老二名下，但是20多年来，老二并未通过法律程序维护自身权益，法律上可能被视为对宅基地使用权的让渡，打官司没有百分百胜算。</w:t>
        <w:br/>
        <w:t xml:space="preserve">　　普法结束，他又帮张家兄弟算账：一审诉讼费就要几万元，如有人上诉、重审，补偿款被冻结，要白白损失两年利息，远远超过争议的30万元。两天半苦口婆心劝说，兄弟二人最终达成一致，老二多分了30万元，拆迁也顺利扫尾。</w:t>
        <w:br/>
        <w:t xml:space="preserve">　　“万柏林城区、矿区、山区交错，能顺利完成27个城中村、1200余万平方米的整村拆除任务，在太原率先告别城中村，法律顾问真是立了大功。”万柏林区委书记杨俊民说。在创建省级法治示范区时，万柏林区坚持法治建设与经济工作同研究、同部署、同检查、同考核。目前，区委、区政府及各乡街共聘请了30余名法律顾问，全区69个行政村及157个社区实现了法律顾问全覆盖。</w:t>
        <w:br/>
        <w:t xml:space="preserve">　　真用不假用</w:t>
        <w:br/>
        <w:t xml:space="preserve">　　发挥优势解决棘手难题</w:t>
        <w:br/>
        <w:t xml:space="preserve">　　万柏林区只是山西推行法律顾问制度的一个缩影。一年来，山西省、市、县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