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开货车一年赚好几万元，贵这点不算啥。”</w:t>
        <w:br/>
        <w:t xml:space="preserve">　　不缺钱了，干净环境、清洁空气成为王在田们的新期待。“现在白给我煤我也不烧，为啥？堆煤炭占地方、生炉子脏，以前生炉子，咱聊天这功夫我就得添个两三遍煤。”</w:t>
        <w:br/>
        <w:t xml:space="preserve">　　早春时节，随着气温回暖，江西省永丰县各地油菜花竞相绽放，春意盎然，吸引人们踏春赏花，感受春天的气息。</w:t>
        <w:br/>
        <w:t xml:space="preserve">　　近年来，永丰县大力实施旅游扶贫工程，发动群众利用冬闲田种植油菜，发展绿色生态乡村旅游，促进农民增收。</w:t>
        <w:br/>
        <w:t xml:space="preserve">　　图为在永丰县七都乡恩江灌区拍摄的油菜花春景图。</w:t>
        <w:br/>
        <w:t xml:space="preserve">　　刘浩军  杨卫斌摄（人民视觉）</w:t>
        <w:br/>
        <w:t xml:space="preserve">　　本报北京2月22日电  （记者彭波）记者从最高人民检察院获悉：最高检民事行政检察厅下发通知，决定对33件破坏生态环境公益诉讼案件线索予以挂牌督办。这些案件线索发案于河北、山西、吉林、江西、河南、海南、贵州、陕西、甘肃、青海、新疆等11个省份，涉及水、大气、固体废弃物、土壤等多种类型的环境污染，给当地自然环境和居民生活带来不利影响。这些案件线索是最高检在对2017年以来的督办案件及近期新闻媒体披露社会各界关注的有关问题进行梳理中发现的。</w:t>
        <w:br/>
        <w:t xml:space="preserve">　　通知要求，对于挂牌督办的案件线索，各地要切实加大办案力度，层层抓落实、件件有结果。要敢于啃硬骨头，通过办理人民群众反映强烈、社会各界高度关注的案件，扩大公益诉讼制度的社会影响力，增强公益保护效果。</w:t>
        <w:br/>
        <w:t xml:space="preserve">　　本报呼和浩特2月22日电  （记者吴勇）记者从内蒙古巴彦淖尔市科技局获悉：经过近两年实施，国家重点研发计划项目“河套平原盐碱地生态治理关键技术研究与集成示范”目前共建成千亩核心试验示范区3个、核心试验示范区域1万多亩，累计示范应用超1.5万亩，推广辐射示范区约10万亩。</w:t>
        <w:br/>
        <w:t xml:space="preserve">　　截至目前，内蒙古河套灌区有盐碱地约400多万亩，在巴彦淖尔市7个旗县区均有分布。该项目将构建内蒙古和宁夏河套平原盐碱地综合治理技术体系与林、草、农生态产业发展模式。项目完成后，预计总辐射推广面积将在60万亩以上，可将土壤盐分降低1个等级，地力提升1个等级，肥料减投20%—30%，水分利用效率提高10%—20%。</w:t>
        <w:br/>
        <w:t xml:space="preserve">　　本报武汉2月22日电  （记者程远州）经过两年多的改造和建设，湖北武汉的青山区和汉阳四新片区两个海绵城市的试点片区共计288项工程主体完工，初步实现海绵城市的“呼吸吐纳”功能。</w:t>
        <w:br/>
        <w:t xml:space="preserve">　　雪后初霁，地面上却不见一点积水，家住青山区110社区的李先生很高兴：“海绵城市还真管事儿！以前一有雨雪，这里就成了泥巴路！”不远处的南干渠游园经过改造后，园内新增了植草沟、雨水花园和下沉式绿地，雨水先流入这些低洼汇水区，再导入园内水池，与市政排水管连通，园内道路也变成了鹅卵石、透水砖路面，一盆水泼上去，几秒钟就被“喝完”了。</w:t>
        <w:br/>
        <w:t xml:space="preserve">　　“这是武汉市海绵城市建设的示范工程，占地3.84平方公里，包含社区、学校、市政道路、城市管渠、公园绿地、城市水系共78个子项。”施工方武钢海绵城市建设项目公司副书记周海介绍。</w:t>
        <w:br/>
        <w:t xml:space="preserve">　　南干渠“海绵改造”工程的开展，正是武汉市大力建设海绵城市的一个缩影。2015年4月，武汉成为首批国家海绵城市试点，当年10月，武汉确定青山区和汉阳四新片区为重点试点区域。</w:t>
        <w:br/>
        <w:t xml:space="preserve">　　武汉市水务局相关负责人介绍，以南干渠生态示范区为代表的青山旧城改造试点区，重在将海绵城市改造与老旧社区改造二合一。在青山区工业二路附近的兴达花园，除了将人行路面和停车场道路换成透水铺装，将绿地改造成低凹下沉式绿地外，还结合居民需求，将小区原有的污水管道由直径200毫米换成300毫米，并对居民家中的出水管进行疏通。施工人员介绍，每个小区内都设置了不少蓄水模块，将部分雨水储存其中，循环利用。</w:t>
        <w:br/>
        <w:t xml:space="preserve">　　占地17.43平方公里的汉阳四新片区则是以新区的身份加入海绵城市建设，处处体现“海绵理念”。作为汉阳地区最大的排水泵站，四新泵站俨然一座城市公园。成排的树木、全覆盖的草坪，站区内雨水可以得到自然积存、自然渗透、自然净化。</w:t>
        <w:br/>
        <w:t xml:space="preserve">　　武汉市城建委海绵城市工作专班相关负责人介绍，青山和汉阳四新片区的海绵城市改造范围为38.5平方公里，占武汉市中心城区面积的4.4%。按照武汉海绵城市建设三步走计划，至2020年，武汉中心城区20%的面积将实现海绵化，至2030年，这一比例将提升至80%。</w:t>
        <w:br/>
        <w:t xml:space="preserve">　　由于阅读习性改变，长篇小说正在失宠。如果真有一天把《红楼梦》这样的经典打入“死活读不下去的书”之列，那于中华民族璀璨文化而言将是无可挽回的损失。在浮躁时代养成大众阅读耐心，对改善社会阅读生态乃至整个文化生态，无疑十分必要，应当从文化强国建设高度予以重视并行动起来</w:t>
        <w:br/>
        <w:t xml:space="preserve">　　</w:t>
        <w:br/>
        <w:t xml:space="preserve">　　今天，我们正面临人类历史上一个前所未有的新文化形态。人们赋予它许多称谓——“媒介文化”“信息时代”“高科技社会”“后工业社会”“消费文化”等。不管怎样称呼，有一点显而易见，那就是一种新阅读文化正趋形成，人们的阅读习性随之而变。</w:t>
        <w:br/>
        <w:t xml:space="preserve">　　“超级注意力”难以专注于单一目标</w:t>
        <w:br/>
        <w:t xml:space="preserve">　　记得5年前某出版社做过一个网络问卷，调查“死活读不下去的书排行榜”，结果匪夷所思，第一名竟是《红楼梦》！中国古典小说四大名著悉数在列。我想这个问卷结果20年前绝对是不可想象的，为何读者不再有耐心阅读《红楼梦》这样的鸿篇巨制呢？2015年发表的一份阅读报告用数字描述阅读生态的嬗变：数字化阅读方式接触率已高达58.1%，而人均纸质图书阅读量只有4.56本。一边是没耐心读长篇，另一边是越来越多数字化阅读，两个现象之间有无关联？</w:t>
        <w:br/>
        <w:t xml:space="preserve">　　国外一些研究揭示其中可能的关联。曾任加州大学教授的海尔斯对美国大学生阅读做系统调研，发现“M一代”（即“媒体一代”）正在形成一种全新阅读习性，它呈现为一种越来越流行的“超级注意力”，那些学文学的大学生也不再热衷于阅读长篇小说。这一研究揭橥一个新发展趋向，公众阅读正经历某种转型，从传统“深度注意力模式”转向当下“超级注意力模式”。前者特征是长时间专注于单一目标，对单调状态有很高耐受力。此种注意力模式过去很常见，它就体现在纸质书籍阅读特性之中，可称之为“沉浸式阅读”。</w:t>
        <w:br/>
        <w:t xml:space="preserve">　　近20年来情况骤变，智能电子设备等技术新发明大量出现，深刻改变人们的信息接受方式。比如玩电子游戏，屏幕画面每秒都在发生变化，使人颇感刺激；再比如上网浏览，新信息和链接即时跳入眼帘，庞杂多样的信息流动眼花缭乱，令人兴奋。海尔斯发现，超级注意力有4个突出特点：第一，认知焦点同时在多个目标间不停跳转；第二，偏爱丰富多样信息流；第三，追求有强烈刺激性的信息；最后，无法忍受单调沉闷的认知状态。她描述一个场景，一个大二女生在读《傲慢与偏见》，她10岁的弟弟在一旁玩“飞车大冒险”电子游戏。别看年龄只相差10岁，可他们却是完全不同的两代人，因为他们之间存在着“深度注意力主导”与“超级注意力主导”的巨大鸿沟。</w:t>
        <w:br/>
        <w:t xml:space="preserve">　　如果我们从海尔斯研究结论出发，细心审视中国当下社会和文化，可以深切感受到我们的阅读文化正在经历一个巨大转型期。一种新的阅读文化正在形成，与之相伴的某种阅读新习性正在左右人们阅读。可以用如下几个字来概括这种阅读新习性：快、短、浅、泛、碎 。“快”是时间概念，意指慢读已不再流行；“短”是空间概念，意指短篇作品更趋流行，长篇巨作不再受读者青睐；“浅”是理解行为，阅读不求深解只求了解；“泛”是信息接受方式驳杂，如古人所言读书“博而不深”；而“碎”则指阅读信息关联性阙如，各种破碎无关的信息纷至沓来，将读者淹没在信息汪洋之中。</w:t>
        <w:br/>
        <w:t xml:space="preserve">　　不仅普通读者如此，专业读者的专业文献阅读也出现一些相同趋向。有统计研究披露，很多专业读者往往只读一个文献的前三页，他们对文献的引用有46%只限于文献第一页，23%的引用限于文献第二页，77%的引用来自于文献前三页。</w:t>
        <w:br/>
        <w:t xml:space="preserve">　　人类正从印刷文化转向电子媒介文化</w:t>
        <w:br/>
        <w:t xml:space="preserve">　　我们不禁要问，造成今天阅读文化嬗变原因何在？</w:t>
        <w:br/>
        <w:t xml:space="preserve">　　时下工具理性盛行，价值理性衰落，纯粹阅读兴趣已被各种功利实用阅读所取代，社会文化浮躁是一个重要原因。具体而言，阅读载体提供“超级注意力模式”形成的技术条件，从电子阅读器到电脑阅读，从iPad阅读到手机阅读等，新的阅读设备提供更为多样和更为有趣的阅读方式，使阅读变成“悦读”，暗中“引诱”人们不断“刷屏”。</w:t>
        <w:br/>
        <w:t xml:space="preserve">　　电子文本不同于单调纸质文本，是“超文本”，它有多重链接、分叉选择和非顺序性等特征。“多重链接”指原文本与诸多副文本密切关联的网状结构，在阅读原文本同时，可链接许多其他副文本，改变了一个孤立文本的静读，进入无限可能的信息丛林；“分叉选择”指阅读选择多样性，电子阅读无一定格式，这是多重链接必然产物，所以新的阅读方式往往是发散的、离心的，充满偶然性和可能性，有趣得多、丰富得多；“非顺序性”是指，电子阅读不同于纸质阅读的线性逻辑，它是跳跃性的，甚至非理性的，这不仅是认知对象特点，亦是主体认知方式特征。</w:t>
        <w:br/>
        <w:t xml:space="preserve">　　历史地看，人类阅读文化经历几次重大转变。一次是从口传文化向印刷文化转变，这是传统文化向现代转变的重要关节。今天则正在出现另一个转变，从印刷文化向电子媒介文化嬗变。比较来说，印刷文化所孕育的是一种沉浸式阅读，其认知模式是深度注意力；而电子媒介催生一种全新浏览式阅读，它所建构的是超级注意力模式。浏览式阅读在不同对象间切换转移，无法忍耐阅读单一文本时的长时间单调。这颇有些像人们的美食体验，品尝美味佳肴之后，对粗茶淡饭便难以忍受。同理，习惯于浏览式“悦读”之后，对单一文本的长时阅读便会感到乏味而难以持续。</w:t>
        <w:br/>
        <w:t xml:space="preserve">　　进一步，如果我们把目光放得更开阔一些，不难发现超级注意力认知方式已经成为当今信息接受的普遍方式。各种短小信息形式的流行最能说明问题。比如，为什么今天散文比其他文体更受读者青睐？一个重要原因是，散文短小精悍不拘一格，恰好顺应今天超级注意力所建构的阅读习性。再比如，各种读本、文选流行，究其缘由，恐怕也是因为其内容丰富、篇幅不长而避免了单一、单调。微博取代博客又是一个例子，微博百多字限制不只是篇幅容量指标，更是人们阅读习性变化风向标。微信、短视频风行也从另一个侧面说明这一变化。</w:t>
        <w:br/>
        <w:t xml:space="preserve">　　从文化强国建设高度重建阅读习性</w:t>
        <w:br/>
        <w:t xml:space="preserve">　　毫无疑问，便捷的电子阅读有其明显优势和特长，今天要拒斥电子阅读显然是不合时宜的，它已经或即将成为阅读主导形态。当前亟待思考的问题是如何扬长避短，切实改善阅读生态，在浏览式阅读盛行的时代重构人们沉浸式阅读的习性。</w:t>
        <w:br/>
        <w:t xml:space="preserve">　　我觉得首先要从青少年抓起。青少年是电子媒介文化“原住民”，生在高度数字化媒介情境中，乐于尝试和接受新事物，又很容易成为新文化弄潮儿。因此，在青少年身上有意识地培育沉浸式阅读尤为重要，良好阅读习性会影响他们一生。需要从娃娃抓起，有目的地通过阅读训练科目使青少年对超级注意力模式的局限性有所体认，对电子媒介文化具有自觉批判理性。</w:t>
        <w:br/>
        <w:t xml:space="preserve">　　提倡为读而读的价值理性，制衡阅读工具理性。社会学家马克斯·韦伯早在上世纪初就断言，纯粹出于兴趣、信仰和爱好的价值理性衰落了，而少投入多回报的工具理性则大行其道。对当代阅读文化而言，韦伯预言也同样有效，越来越多的阅读不再出于纯粹兴趣、信仰和爱好，而是出于各种各样实用功利目标，苏东坡“旧书不厌百回读，熟读深思子自知”的境界踪迹难寻。于是，培养公众阅读价值理性，培养为阅读而阅读的冲动，也是改变当下阅读生态一个可能途径。鼓励人们亲近纸质书籍，提倡拥有个人纸质藏书和个人经典书单，并坚持每日静读实践，有助于培养专注力，从而接近本雅明所描述的阅读境界：“真正的藏书者与书保持着最为亲密的拥有关系。不是说书因他而活着，而是他活在书中。”所以“没人比他更有富足感了”。</w:t>
        <w:br/>
        <w:t xml:space="preserve">　　由于阅读习性改变，长篇小说正在失宠。如果真有一天把《红楼梦》这样的经典打入“死活读不下去的书”之列，那于中华民族璀璨文化而言将是无可挽回的损失。在一个浮躁的时代养成大众阅读耐心，对于整体改善阅读乃至文化生态，无疑十分必要，应当从文化强国建设的高度予以重视和研究。</w:t>
        <w:br/>
        <w:t xml:space="preserve">　　总之，改变阅读生态和重构阅读习性是一个新课题，并无既成经验与模式，目前能做和要做的就是行动起来，并从我做起。</w:t>
        <w:br/>
        <w:t xml:space="preserve">　　（作者为南京大学教授）</w:t>
        <w:br/>
        <w:t xml:space="preserve">　　优秀传统文化的发展不能闭关自守，它一定是跟不断深入全面吸收世界文明有益营养联系在一起，在这个过程中，文化主体性也不断得到丰富和发展</w:t>
        <w:br/>
        <w:t xml:space="preserve">　　</w:t>
        <w:br/>
        <w:t xml:space="preserve">　　近年来，中华优秀传统文化传承与发展为党和国家高度重视，社会共识度也在不断提升。其实，文化传承与发展我们每天都在做，只是百姓日用而不觉。比如我们的饮食，像川菜，这些年虽然有“新川菜”，但川菜核心味道没有变，这就是对传统的继承和创新。传统文化“润物无声”例子还有很多。比如毛泽东诗词精神、周总理人格气质，都是中华优秀传统文化的传承发展。再比如当代歌曲尤其民歌，虽不是对唐代乐舞的传承，但仍然可以从中看到中华民族特有的审美精神、中国人所希望达到的美的境界。</w:t>
        <w:br/>
        <w:t xml:space="preserve">　　习近平同志关于中华优秀传统文化的系列重要讲话和2017年中办、国办印发的《关于实施中华优秀传统文化传承发展工程的意见》，都在引导人们把日常生活中对传统文化不自觉传承上升为自觉传承。不自觉传承比较分散，缺乏强有力的内在支撑；有了文化自觉，就会有比较强的内生动力和凝聚力。</w:t>
        <w:br/>
        <w:t xml:space="preserve">　　呼吁传承传统文化自觉意识，还在于当代生活形态减少了和传统文化直接相关的具体载体。在这种情况下，我们更要自觉把古典精神世界显现出来，进而提供给广大人民，给人民精神生活更多样选择。</w:t>
        <w:br/>
        <w:t xml:space="preserve">　　生活是传统文化的载体，但不是绝对的。比如，今天我们在日常生活中不再使用毛笔，但是学习书法乃至从事书法创作的人群不小，书法这个文化传统一直在继承。这就是说，文化传统一旦形成，就有相对独立性，只要它符合人类对真善美的追求方向，就会不断有人去追求、去传承，传统就会不断发挥作用。再比如当代社会中诗词与生活的相关性和古代不能相比。但是全国各地喜欢写旧体诗词的人很多，特别南方有很多民间诗社。与消费主义追求的东西不同，诗词更多指向精神的、文化的世界，对社会有良性导引作用，对个体汉语写作和语言表达更有直接影响。我们从事文化传承的人，一定要摆脱机械决定论，要能够看到精神和艺术世界有其自身生命。我们要去自觉地传承它、彰显它，推动它向所有现代人开放。</w:t>
        <w:br/>
        <w:t xml:space="preserve">　　在当代生活中焕新传统、为当代世界所用，还需要我们对传统文化有甄别意识、健全标准和积极转化态度。传统文化有精华有糟粕。能够流传至今的，已经过千百年锤炼和过滤，主体是好的、正面的，但也有不适宜的、需要被淘汰的，比如官本位思想、不重视法制、轻视妇女等。我们要通过筛选、鉴别，从传统文化这个“大筐”中找到真正属于这个时代的“菜”，为今天所用。筛选鉴别标准是关键，之前一些提法有失片面。比如，曾经一度把科学、民主作为文化传承主要标准。这个标准在甫一提出的当时具有针对性，放到今天看就不够全面，中华民族世界观里有很多智慧远远超逸民主科学这个标准。此外，有些旧有观念是可以转化的，而不必完全抛弃。比如，五四时代批评“忠”“孝”观念。而在今天，孝，是社会公认价值标准；忠被转化成对民族的忠、对国家的忠。</w:t>
        <w:br/>
        <w:t xml:space="preserve">　　在生活中传承传统文化，最核心的是传承优秀传统价值观，与读经、吟诵诗词、学习书法相比，这是根基性的精神传承，是涵养社会主义核心价值观的源泉。习近平同志指出，中华优秀传统文化已经成为中华民族的基因，植根在中国人内心，潜移默化影响着中国人的思想方式和行为方式。今天，我们提倡和弘扬社会主义核心价值观，必须从中汲取丰富营养，否则就不会有生命力和影响力。</w:t>
        <w:br/>
        <w:t xml:space="preserve">　　面对当代国际社会，中国传统文化同样有所作为。在国际秩序、国际关系发生深刻变化的今天，改造现有秩序、促成建立我们理想的人类命运共同体，也需要借助传统文化资源。中华文明赋予我们独特世界观和处理复杂事变的能力，这是支撑一个大文明数千年发展的内在力量，对未来也大有启发。这几年为国际社会重视的“中国方案”，其背景就是中华文化，而不仅仅是当代中国立场。孔子在2500年前提出“己所不欲勿施于人”“和而不同”，不仅是人类处理彼此关系的普遍原理，也深刻体现中华文明处理人类难题的智慧。今天我们面对世界、面对国际格局提出的理念，也植根于优秀传统文化。当然，要结合我们今天实际，有今天的现实针对性。</w:t>
        <w:br/>
        <w:t xml:space="preserve">　　最近十几年，不仅仅中国，世界多个国家和地区的古老文明都有复兴趋势。为什么会复兴？首先，认为传统一定妨碍现代化的迷思被打破；其次，伴随现代化进程，现代性很多问题随之展现，人们需要回归传统智慧来应对。面对今天世界性问题，结合现代生活，复兴古老文明智慧，促进现代社会发展，这应该是一个普遍现象。清华大学国学院在停办80年之后，于2009年重新恢复，是对这个潮流的积极呼应。国学院有两大特点：文化主体性意识很强，之所以复建就是突出主体性；开放性很强，早在国学院创立的“四大导师”时代，其主体性就是和世界充分连接的主体性，彼时和国际汉学、东方学都有很多联系，进而通过这种联系确立自己的定位和目标，在国际文化交流中发挥作用。</w:t>
        <w:br/>
        <w:t xml:space="preserve">　　既是主体的，又是开放的，如陈寅恪所讲，不忘主体，同时吸收外来文化——这是清华大学国学院特质，也是中华优秀传统文化特质。优秀传统文化发展不能闭关自守，它一定是跟不断深入全面吸收世界文明有益营养联系在一起，在这个过程中，文化主体性也不断得到丰富和发展。</w:t>
        <w:br/>
        <w:t xml:space="preserve">　　（本报记者徐馨采访整理）  </w:t>
        <w:br/>
        <w:t xml:space="preserve">　　陈来，1952年生于北京，清华大学哲学系教授、国学研究院院长，中国哲学史学会会长。著有《古代宗教与伦理——儒家思想的根源》《朱子哲学研究》《古代思想文化的世界》《传统与现代：人文主义的视界》《东亚儒学九论》《中华文明的核心价值：国学流变与传统价值观》等。</w:t>
        <w:br/>
        <w:t xml:space="preserve">　　对每一部续作待之以初心，摒弃“蹭热度”“捞快钱”的功利心态，这样续作精品才能更多涌现</w:t>
        <w:br/>
        <w:t xml:space="preserve">　　</w:t>
        <w:br/>
        <w:t xml:space="preserve">　　一部作品火了，往往会出续作，但品质稳定、口碑响亮者并不多见。无论《欢乐颂2》《大唐荣耀2》等剧集，还是《大话西游3》《澳门风云3》等续作电影，抑或是《二十四小时》等“N代”综艺，都新意匮乏、疲态渐显。</w:t>
        <w:br/>
        <w:t xml:space="preserve">　　“续作乏力症”非起于当代，更不是“中国制造”。当年电视剧《大宅门》火热一时，堪称电视剧经典之作，续作《大宅门1912》则平平淡淡；《变形金刚》《加勒比海盗》等好莱坞系列电影拍至第五部，全球票房不复前作之勇，口碑也跌至系列低谷。</w:t>
        <w:br/>
        <w:t xml:space="preserve">　　续作生产有其先天难度：珠玉在前，超越空间有限，创作动力与热情也难复往昔，加之“人生若只如初见”的观赏心理，想赢得观众自是不易。不过，放眼望去，诸如《老友记》《生活大爆炸》等常青美剧并不鲜见，《无间道2》《绣春刀2》等口碑上佳的国产电影续作也不时涌现，位列国产电影票房榜首的《战狼2》更是绝好例子。可见“续作乏力症”并非无解，也不尽是客观原因。</w:t>
        <w:br/>
        <w:t xml:space="preserve">　　续作生产一个难点，是如何兼顾延续性与创新性问题。既称“续”，就要与前篇有合理性故事关联；既为“作”，就应有创新思考和品质的丰富提升。续作不佳，往往是“续”味有余，“作”意不足。第一部平地起高楼，非有强烈表达欲不能为也，续作则有的为续而续，因此庸常乏力，罕见新意，在本该结束的故事上继续打转，对本可深入的题材浅薄处理，甚至故事开端不乏创意，最后也落入俗套。一些综艺节目季与季之间没有明显创新，亲子郊外旅行、明星闯关游戏常常是老配方、旧模样，观众热情自然难以持久。</w:t>
        <w:br/>
        <w:t xml:space="preserve">　　实际上，相较于“续”的标签，“作”中蕴藏的新意和巧思，是续作保持吸引力的关键。《蝙蝠侠》作为好莱坞闻名遐迩的经典故事，系列电影也一度因创意枯竭而搁置。直到克里斯托弗·诺兰为影片赋予更浓郁黑暗英雄气质，并从文学作品《双城记》中获得灵感，让影片充满思辨色彩，才使这个品牌重新崛起。最近热映的剧集续作《琅琊榜之风起长林》开辟全新故事场景，根据新故事情境起用全新演员阵容，腾挪出更大创作空间，带来更多新鲜感，也迎来不俗口碑。在“续”基础上琢磨出“作”的新意，让系列作品获得持久认可。</w:t>
        <w:br/>
        <w:t xml:space="preserve">　　续作新意欠缺与创作者自身创作水平不足有关，但更大程度上是功利心态作祟。诸多“续作的诞生”常是创作方看到前作爆火，希望趁热打铁，再挣一笔快钱，于是匆忙立项，压缩创作周期，无暇用心打磨。《澳门风云》一年一部，已出3部，成为电影市场中的“快手”。那种明星大腕大杂烩式的虚浮，俗套寡淡的“老梗”，令人尴尬的故事，难以说是用心诚意之作，众多观众感受到鲜明的“圈钱感”，口碑崩塌也可想而知。</w:t>
        <w:br/>
        <w:t xml:space="preserve">　　竭泽而渔不只是在消费前作积累下来的名气，更在耗损受众对续作的信心。在续作生产相对成熟的市场，通常是将艺术品牌作为“可再生资源”经营开掘，故而制作能保证较高水准。电影《碟中谍》系列从第一部开始至今，横跨20余年，只上映5部，第四、五部反而愈发精彩。美剧《老爸老妈的浪漫史》更新9季，历经9年，“战线”如此之长，非但没有仓促赶制的应付感，反而每一季都有新亮点，整个系列完整连贯，成为观众长情陪伴。高水准续作离不开创作团队对艺术品牌的爱护和珍视，是创作团队用心投入的成果。</w:t>
        <w:br/>
        <w:t xml:space="preserve">　　经典品牌立住很难，坍塌却很容易。文艺续作不是一个简单做加法的过程，很多时候需要在思维定势上做减法，在新意设计上做乘法，需要有超越前作的进取心，对每一部续作待之以初心，摒弃“蹭热度”“捞快钱”的功利心态，续作精品才能更多涌现。</w:t>
        <w:br/>
        <w:t xml:space="preserve">　　本报昆明2月23日电  （记者张帆、徐元锋）云南省文山州富宁县木央镇的干部，前一阵一直为发展食用菌助力脱贫奔忙，忙不怕，会不会踩不准点？不久前召开的省两会上，明确云南今后要打好绿色能源、绿色食品、健康生活目的地产业“三张牌”，让干部们高兴得好一阵儿议论，觉得更有奔头了。</w:t>
        <w:br/>
        <w:t xml:space="preserve">　　打好“三张牌”，云南底气足。云南省清洁能源丰富，与周边国家互联互通，具有独特区位优势。2017年，全省能源工业增加值仅次于烟草行业，同比增长26%。“绿色能源牌”围绕水电清洁能源开发，推进水电铝材、水电硅材一体化，发展新能源汽车产业，把能源优势转化成经济优势。</w:t>
        <w:br/>
        <w:t xml:space="preserve">　　“绿色食品牌”的优势更明显。过去5年，云南高原特色农业风生水起，农产品出口额稳居西部省区第一，获国家驰名商标农产品21个，认证“三品一标”农产品两千余个，斗南花卉、普洱茶、文山三七等区域性品牌闻名遐迩。“好多来考察的国际同行很惊讶，云南的坚果种植面积竟然全球第一。”云南某农业科技发展有限公司负责人告诉记者，他在普洱市的2.5万亩坚果基地，坚果挂果期比其他地区能早一年。</w:t>
        <w:br/>
        <w:t xml:space="preserve">　　围绕“健康生活目的地”，云南大力发展从“现代中药、疫苗、干细胞应用”到“医学科研、诊疗”，再到“康养、休闲”的大健康产业，走国际化、高端化、特色化、智慧化之路，重塑旅游形象，树立旅游品牌。2017年旅游市场乱象整治成效明显，旅游投诉大幅下降，旅游人次和收入双双增长。</w:t>
        <w:br/>
        <w:t xml:space="preserve">　　与此同时，云南生物医药、大健康产业发展势头喜人，2017年新开工、续建和竣工相关产业化项目55个……产业结构调整显出成效，2017年云南地区生产总值增速达9.5%，位居全国前列。</w:t>
        <w:br/>
        <w:t xml:space="preserve">　　“‘三张牌’都以绿色为底色，是贯彻落实习近平总书记提出的云南要努力成为全国生态文明排头兵的具体举措。瞄准世界一流品牌去打造‘三张牌’，培植新动能，云南高质量发展也就有了保证。”省政府主要负责人表示。据悉，云南将成立由省长任组长的专门领导小组，全力推进高原特色农业发展。</w:t>
        <w:br/>
        <w:t xml:space="preserve">　　省发改委副主任、能源局局长丁兴忠透露，怎样打好“三张牌”，云南已画好了路线图。“预计到2020年，能源产业将完成增加值1400亿元以上，成为云南第一大支柱产业。”届时，云南将力争实现50万辆新能源汽车产能，建成7万吨多晶硅、8.8万吨单晶硅及硅光伏和硅电子产业链。</w:t>
        <w:br/>
        <w:t xml:space="preserve">　　新华社北京2月23日电  近日，中共中央印发《中央党内法规制定工作第二个五年规划（2018—2022年）》（以下简称《规划》）。《规划》深入贯彻落实习近平新时代中国特色社会主义思想和党的十九大精神，着眼于到建党100周年时形成比较完善的党内法规制度体系，对今后5年党内法规制度建设进行顶层设计，提出了指导思想、目标要求、重点项目和落实要求，是推进新时代党内法规制度建设的重要指导性文件。</w:t>
        <w:br/>
        <w:t xml:space="preserve">　　《规划》指出，做好新时代党内法规制定工作，要高举中国特色社会主义伟大旗帜，全面贯彻党的十九大精神，坚持以马克思列宁主义、毛泽东思想、邓小平理论、“三个代表”重要思想、科学发展观、习近平新时代中国特色社会主义思想为指导，紧紧围绕进行伟大斗争、建设伟大工程、推进伟大事业、实现伟大梦想，贯彻落实新时代党的建设总要求，坚持依法治国和依规治党有机统一，坚持思想建党和制度治党同向发力，以改革创新精神加快补齐党内法规制度短板，使党的各方面制度更加成熟、更加定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