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扛在肩上，把群众冷暖放在心上。</w:t>
        <w:br/>
        <w:t xml:space="preserve">　　1990年春天，习近平从福建宁德调任福州市委书记，甫一上任就以雷厉风行的举措释放强烈信号；第二年初，他向全市提出了“马上就办”、狠抓落实的要求，并身体力行。回顾这段并不久远的历史，如何在工作中践行“以人民为中心”，如何在新时代展现新作为，每个领导干部都应深长思之。</w:t>
        <w:br/>
        <w:t xml:space="preserve">　　本报福州2月25日电  （记者何璐）近日，福建省财政厅出台《省级财政支持农村小型公益设施及农业生产发展专项资金管理办法》。《办法》明确提出，福建省建设农田水利、饮水工程、农村道路、农村能源、生态环境、公共服务设施等可得到省级财政农村小型公益设施及农业生产发展专项资金补助。</w:t>
        <w:br/>
        <w:t xml:space="preserve">　　农村小型公益设施及农业生产发展专项资金，是指由省财政预算安排用于支持农村小型公益设施建设、农业（含农、林、牧、渔业，下同）生产发展、生态农业建设及农业防灾救灾、风险防控的补助资金。按照《办法》，专项资金的补助对象主要为村级集体组织等新型农业经营主体。</w:t>
        <w:br/>
        <w:t xml:space="preserve">　　据悉，对符合条件的项目一般每个项目补助10万—50万元；对以县为单位实施的优势特色产业或农业基础设施建设项目补助最高不超过200万元；对新型农业经营主体的补助比例不超过项目实际总投入的50%。专项资金可用于修缮、建造农村小型公益设施和农业生产设施所需的设计、材料购置、工程设备、施工作业和项目管理等费用支出；不得用于发放工资、奖金、津贴和福利、弥补亏损和偿还债务、修建购买楼堂馆所、交通和通信工具购置，以及其他与农村小型公益设施和农业生产发展项目无关的支出。</w:t>
        <w:br/>
        <w:t xml:space="preserve">　　随着春节假期结束，返程客流持续走高，南昌火车站充分调动人力资源，保障旅客出行安全有序。图为近日南昌站客运工作人员在为旅客服务。</w:t>
        <w:br/>
        <w:t xml:space="preserve">　　本报记者  魏本貌摄  </w:t>
        <w:br/>
        <w:t xml:space="preserve">　　本报南宁2月25日电  （记者庞革平、刘佳华）记者从广西壮族自治区扶贫办获悉：经国家统计局核定，广西去年完成脱贫人口95万人。2017年，广西减贫速度（减贫人口占上年贫困人口的比重）为27.8%，比上年加快3.2个百分点；贫困发生率为5.7%，比上年下降2.2个百分点。</w:t>
        <w:br/>
        <w:t xml:space="preserve">　　2017年广西4项扶贫措施成效显著。一是强化帮扶力量，扎实推进“一帮一联”活动，共安排52.3万名干部帮扶125.8万贫困户及脱贫户，5000名第一书记和3万名工作队员驻村帮扶。二是抓产业发展，据不完全统计，广西2017年共整合财政涉农资金39.3亿元用于发展特色产业，形成县级“5+2”和贫困村“3+1”特色产业体系。三是加大扶贫资金投入，各级政府加大财政扶贫资金投入，社会帮扶力度加大，扶贫小额信贷增加。33个国家扶贫开发工作重点县和石漠化片区县全部纳入财政涉农资金整合试点范围，2017年共整合资金129.68亿元。四是广东对口帮扶力度加大。签订《“十三五”时期粤桂扶贫协作框架协议》，召开粤桂扶贫协作第二次联席会议、粤桂扶贫协作工作座谈会，印发《进一步加强粤桂扶贫协作工作的意见》，出台13条粤桂扶贫协作优惠政策。</w:t>
        <w:br/>
        <w:t xml:space="preserve">　　春节前夕，走进海拔2800米的四川凉山彝族自治州喜德县冕山镇小山村“农民夜校”，眼前两层小楼独具彝家风情，墙壁上的索玛花图案火一般绽放，房后漫山遍野的白雪闪着银光。这里就是四川首家农民夜校。</w:t>
        <w:br/>
        <w:t xml:space="preserve">　　“脱贫肯定没问题。”村民阿尔伍各信心满满。夜校开班至今，跟农技有关的课他“一堂都没落下”。</w:t>
        <w:br/>
        <w:t xml:space="preserve">　　“以前我给别人打工，现在我自己要当老板。”村民何定洪在村夜校学到了养殖技术，特别是跟着村干部去成都参观养殖基地后，他决定跟着村里打造旅游产业的思路，办村里第一家农家乐。</w:t>
        <w:br/>
        <w:t xml:space="preserve">　　“农民夜校不仅是老百姓了解政策的平台，还是获取知识、脱贫致富的平台。”凉山州喜德县冕山镇镇长马海阿里说，开办农民夜校让大家有了聚在一起的机会。村里会把一些将要建设的项目拿到夜校上，让大家发表意见，参与决策。夜校成为村里“三务”公开和保障村民知情权、参与权、监督权的重要平台。</w:t>
        <w:br/>
        <w:t xml:space="preserve">　　四川结合实施远程教育扶贫行动，在高原藏区、大小凉山彝区的4000多个贫困村，每村开办一所农民夜校，帮助贫困群众了解扶贫政策、掌握农业技术、提高劳动技能，传播文明新风，受到贫困群众欢迎。</w:t>
        <w:br/>
        <w:t xml:space="preserve">　　“扶贫先扶智，脱贫先脱愚”，阿坝藏族羌族自治州马尔康市2016年以来开办农牧民夜校29所，实现建档立卡贫困村农牧民夜校全覆盖。培训内容实行群众“点菜”、乡镇“下单”、部门“下厨”。梭磨乡代修村农牧民夜校举办了为期一个月的厨师技能培训，邀请四川职业技术培训学校教师授课，全村80户147人接受培训；马尔康镇阿底村农牧民夜校邀请扬帆职业技能培训学校的专家，举办了为期两周的藏织藏绣培训班，村里妇女和邻近村民200余人参加学习，100多人拿到了结业证；卓克基镇纳足村农牧民夜校举办蜜蜂养殖技术培训班，采取“理论+实操”相结合的方式对农牧民进行强化培训，有效解决中蜂养殖中的技术问题。</w:t>
        <w:br/>
        <w:t xml:space="preserve">　　“培训1人、改变1家、脱贫1户”。自2016年9月底以来，甘孜藏族自治州丹巴县54个贫困村相继挂牌成立农民夜校，实现全覆盖。丹巴县针对群众居住分散、残疾困难群众行走不便等实际，制定每月“流动课堂”计划，由第一书记任校长，组织党员干部、专业技术人员、致富能手、模范先进代表等兼职教师统筹送教上门。在聂呷乡妖枯村，村第一书记和农技员邀请县农牧局畜牧师到贫困户袁帮子家中，开展黄牛规范养殖技术培训。通过学习，袁帮子发展起黄牛养殖产业，还通过易地扶贫搬迁住上了宽敞明亮的新房子，一家人顺利脱贫。</w:t>
        <w:br/>
        <w:t xml:space="preserve">　　本报西宁2月25日电  （记者王梅）日前，记者在青海省人力资源社会保障厅工作会议上获悉：青海省人社厅首次将农民工工资保证金收缴率纳入全省人社工作考核目标，并与各市州签订了目标责任书，为从源头治理拖欠农工工资奠定了基础。</w:t>
        <w:br/>
        <w:t xml:space="preserve">　　近年来，青海省人社部门以工程建设领域为重点，把规范农民工工资保证金作为全面治理拖欠农民工工资问题的有效措施，取得了明显成效，2017年全省收缴农民工工资保证金7.2亿元；返还农民工工资保证金2.78亿元，累计余额10.48亿元，涉及企业3688家。</w:t>
        <w:br/>
        <w:t xml:space="preserve">　　目前，青海省农民工工资保证金工作已基本形成机制健全完善、执法检查常态化、资金管控精细化。青海通过将农民工工资保证金纳入全省人社工作考核目标，进一步压实工作责任，切实做到农民工工资保证金应缴尽缴。</w:t>
        <w:br/>
        <w:t xml:space="preserve">　　以任务为导向、以问题为抓手锐意改革攻坚，京津冀协同发展必将给老百姓带来更多获得感和幸福感</w:t>
        <w:br/>
        <w:t xml:space="preserve">　　　</w:t>
        <w:br/>
        <w:t xml:space="preserve">　　春节刚过，北京市规划展览馆里人头攒动，许多游客专程赶来一览“大国首都”的图景。而在上周，中共中央政治局常务委员会召开会议，听取河北雄安新区规划编制情况的汇报。新时代新蓝图，指引京畿大地万木竞秀、万象更新，赶赴一场生机盎然的春天约会。</w:t>
        <w:br/>
        <w:t xml:space="preserve">　　回望4年前的2月26日，习近平总书记在北京考察工作时发表重要讲话，全面深刻阐述了京津冀协同发展的重大意义、推进思路和重点任务，开启了京津冀大变革、大跨越的历史性一步。匠心独运丹青手，万里山河起宏图。从“历史性工程”的战略高度开展顶层设计，以“保持历史耐心”“不留历史遗憾”的战略定力稳步发力，在以习近平同志为核心的党中央坚强领导下，京津冀协同发展战略正深刻改变中国区域发展版图，锻造出中国经济发展的强力支撑带。</w:t>
        <w:br/>
        <w:t xml:space="preserve">　　春华秋实，岁月如歌。京津冀协同发展4年来，公众将变化看在眼里，喜在心里。蓝天更多了，环保联防联控联治开启生态文明新时代；交通网更畅通便捷，“一卡走遍京津冀”“轨道上的京津冀”成为联通城际的生活现实；公共服务共建共享，京津高水平中小学校与河北开展跨区域合作办学，北京协和医院等对口帮扶河北的医院，三省市新农合信息平台完成对接，对口扶贫凝聚共富合力……无论是共绘发展规划，还是基础设施联动、产业发展协作，抑或环保生态、公共服务等领域的协调衔接，协同发展体制机制的快速构建和紧密落实，给老百姓带来实实在在的获得感和幸福感。</w:t>
        <w:br/>
        <w:t xml:space="preserve">　　更深层次的变化，体现在思想观念、治理方式上。过去京津冀三地虽互为地缘相接、人缘相亲的邻居，但发展各自为战、产业缺少合作、交通往来不便，导致京津两地“过胖”，“大城市病”突出，周边地区却“偏瘦”，“发展洼地”不少。如今在协同发展理念的润泽下，打破自家“一亩三分地”的思维定势，按照顶层设计的目标协作发力，已成为三地干部群众的共识。“一盘棋”的观念树立，“一家人”的情感沉淀，推进协同发展的自觉性、主动性、创造性愈发强烈。得益于这些思想灵魂里的“化学反应”，京津冀区域合作的路子越走越广，握指成拳的合力越发显现出来。</w:t>
        <w:br/>
        <w:t xml:space="preserve">　　抬望眼，以疏解北京非首都功能为“牛鼻子”推动京津冀协同发展，高起点规划、高标准建设雄安新区，完成好党的十九大确立的这两项目标任务，还需要进一步深入研究、深化改革、深度攻坚。如何有效疏解非首都功能，开创区域高质量发展的典范？如何形成合理分布、相互衔接的区域产业发展链条，走出同构性、同质化发展的困境？京津冀跨地区环保机构如何迈出实质性步伐，切实增强人民群众的生态获得感？协同发展是一项复杂的系统工程，无经验可循也无惯例可依，以任务为导向、以问题为抓手锐意改革攻坚，新一年京津冀协同发展大局才刚刚翻开序章。</w:t>
        <w:br/>
        <w:t xml:space="preserve">　　社会主义是干出来的，幸福都是奋斗出来的。京津冀协同发展的宏伟蓝图，只有在一件一件事地做、一茬接一茬地干中才能成为现实。由此不难理解，为什么雄安新区并不急于大干快上，而是把每一寸土地都规划得清清楚楚后再开工建设；由此也更显清晰，为什么习近平总书记高度重视“人民城市为人民”，强调北京“城市规划建设做得好不好，最终要用人民群众满意度来衡量”。美好前景催人奋进，继续坚持规划先行、改革开道、实干铺底，我们就一定能写下京津冀协同发展的新篇章。</w:t>
        <w:br/>
        <w:t xml:space="preserve">　　如何科学引导有学科特长与创新潜质的孩子自由发展，对孩子的个性化特质给出科学评价，是基础教育必须攻克的难题</w:t>
        <w:br/>
        <w:t xml:space="preserve">　　　 </w:t>
        <w:br/>
        <w:t xml:space="preserve">　　新学期开学在即，教育部办公厅印发《关于做好2018年普通中小学招生入学工作的通知》，明确要求规范招生入学秩序、保障入学机会均等。其中最受各方关注的是，“要逐步压缩特长生招生规模，直至2020年前取消各类特长生招生”和“继续清理和规范中考加分项目，尚未全面取消体育、艺术等加分项目的地方，要从2018年初中起始年级开始执行”的要求。</w:t>
        <w:br/>
        <w:t xml:space="preserve">　　这些规定是对此前相关要求的有序衔接和再次强化。近年来，关于减少和规范特长招生的信号持续释放。2014年教育部就曾明确，到2016年特长生招收比例压缩在5%以内。国务院发布意见要求，大幅减少、严格控制考试加分项目，2015年起取消体育、艺术等特长生加分项目……从义务教育阶段入学、普通高中招生，到高校人才选拔录取，均取消或大幅减少特长招生，明确传递让特长教育更纯粹、让招生更公平的信号。</w:t>
        <w:br/>
        <w:t xml:space="preserve">　　作为招生考试制度的有益补充，特长生招生一直以来是学生多元化生长、学校不拘一格选拔人才、国家培养创新人才的重要途径。在多年实施过程中，该模式也确实对学生的学科特长与创新潜质的培养，对学校的特色和多元化塑造起到了重要作用。但遗憾的是，在优质教育资源不平衡不充分的情况下，特长生招生出现了一些问题。一些人动用财富与人脉资源违规享受政策红利，一些人以招生权进行利益交换，一些地方特长生招生异化为灰色利益链条，扰乱了招生入学秩序，破坏了教育公平。</w:t>
        <w:br/>
        <w:t xml:space="preserve">　　而当特长生招生被异化为“入校捷径”后，又加剧了社会的普遍焦虑。不少家庭不甘心望“校”兴叹，被裹挟到特长与才艺培养的洪流中来，最终导致培训机构赚得盆满钵满，家长和孩子苦不堪言。更为严重的是，那些出身寒门的孩子会因为没有财力接受特长教育，在接受教育的最初便已然落了下风。长期以来，尽管国家下大力气为寒门学子创造机会，帮助他们有机会走入知名高校，但 “出身越贫寒，所受教育越薄弱，成功的机会越小”的“下沉螺旋”依然存在，这也是一个重要原因。当起点公平被破坏，机会公平也就会受到影响。</w:t>
        <w:br/>
        <w:t xml:space="preserve">　　从这个角度来说，取消各类特长生招生，也是从起点上守卫教育公平，旨在让教育的环境更清朗，让教育的心态更平和。当然，取消特长生招生不等于取消特长教育。相反，在取消特长生招生之后，如何科学引导有学科特长与创新潜质的孩子自由发展，尤其是在“新高考”综合素质评价的背景下，如何对孩子的个性化特质给出科学评价，是基础教育必须攻克的难题。在更公平的起点上、更透明的规则下、更规范的秩序内，有针对性地呵护每一个孩子的潜力和创造力，打破流水线式的人才培养，为孩子的多元发展以及国家创新人才的培养提供最坚实的保障，未来，也还需要每一位老师做深入探索和大胆实践，更需要评价体系的科学引导。</w:t>
        <w:br/>
        <w:t xml:space="preserve">　　我们常说，教育是一棵树摇动另一棵树，一朵云推动另一朵云，一个灵魂唤醒另一个灵魂，教育致力于让每个人都能成为更好的自己。期待在特长教育回归纯粹之后，教育起点的公平得以守卫，教育能真正变成一件快乐的事。</w:t>
        <w:br/>
        <w:t xml:space="preserve">　　唐代文学家段成式有言：“人不读书，其犹夜行。”意思是说，缺少知识的更新，没有过硬的学习能力，一个人就会像在黑夜行走一样茫然。放在当下来看，这句话不但没有过时，反而愈显深刻。</w:t>
        <w:br/>
        <w:t xml:space="preserve">　　党的十九大报告庄严宣告，“经过长期努力，中国特色社会主义进入了新时代。”站在新的历史起点，处身新的历史方位，面对社会主要矛盾的转化，领导干部没有广博的学识、缺少宽阔的眼界，就难以洞察时势、多谋善断、驾驭全局，更别说当好“施工队”，掌握主动权。“一息尚存，绝不松劲。东风得势，时代更新，趁此机，奋勇前进。”越是形势向好，越要有时不我待、只争朝夕的紧迫感。可以说，只有把教育延长为终身学习，不断扩大知识的外延增量、优化思想的内存容量，提升专业化、创新性思维能力，才能更好地顺应时代要求、承载历史使命、创造崭新业绩。</w:t>
        <w:br/>
        <w:t xml:space="preserve">　　学愈博则思愈远。如今，一些领导干部不善为、不会为、不敢为，很大一部分原因，就在于少知而迷、少思而怯。所谓“少知”，是说部分领导干部习惯于用旧思维解决新问题，用单一的手段解决多元化的诉求，结果往往陷入“做得越多，错得越多”的泥沼。所谓“少思”，是说观察问题缺少深度分析，解答问题缺乏独到见解，随波逐流、人云亦云，面对复杂局面，自然拿不出有效办法。成大事需要大智慧，少知也好，少思也罢，说到底，问题都出在不会学习、不善学习上。</w:t>
        <w:br/>
        <w:t xml:space="preserve">　　毫无疑问，读书学习，绝不是去琢磨官场的“潜规则”、庸俗的“关系学”，而是在有字之书和无字之书里寻找谋事之道、治事之策、成事之法。知识的更新，固然重要，但更关键的是要“转识成智”，将知识内化为思维的方式、理论的素养、自身的本领。比如，很多领导干部在读书看报时，经常会遇到各种各样的案例。一方面，案例学习，本身就是增长见闻、开阔视野的一种方式；另一方面，通过分析、解剖案例，并与当地的实际情况相比较，也是从不同的角度、侧面来思考问题，并找到解决问题的方法。因此，读书不仅要善于博采各家之长，更要内化于心，将知识增长的“势能”转化为开拓创新的“动能”。</w:t>
        <w:br/>
        <w:t xml:space="preserve">　　除了“读什么书”，“怎么读书”的问题，同样重要。现代社会，时间是生活最稀缺的资源，对于领导干部而言，也不例外。如何把精力分配好，做到在忙中有所超脱、有所沉潜、有所积淀？曾经在一本书中读到，1931年，徐向前作为红四方面军的总指挥，创造性地采取了“集中兵力，外线出击，围点打援，各个歼灭”的方针，粉碎了敌人的围剿，巩固了根据地。这样的方针，对于读书而言，同样适用。“集中兵力”，就要以实践作为指南针，将读书学习集中到最需要解决的问题、最需要提高的本领上来，一步一个脚印，“各个歼灭”；“外线出击”，就要在聚焦关键问题的同时，找到新趋势、看到新问题、补充新知识，“围点打援”。如此，读书才有方向，我们也才能不断在学习、实践的双向循环中，积累可靠、管用的实践智慧。</w:t>
        <w:br/>
        <w:t xml:space="preserve">　　哲人有言：“读书给人以乐趣，给人以光彩，给人以才干。”锲而不舍地读书学习，持之以恒地用书卷气给自己赋能，我们必能在实践中锻造担当的宽肩膀，练就成事的真本领。</w:t>
        <w:br/>
        <w:t xml:space="preserve">　　（作者为盐城市委常委、组织部部长）</w:t>
        <w:br/>
        <w:t xml:space="preserve">　　群众遇到问题，反复投诉都没动静，但只要领导一批示问题立马解决；以“没有具体指示”“没有实施细则”为名，在落实上按兵不动。据调查，一些地方和部门的干部在落实工作时，仍然存在“推拖绕”的不良现象。类似行为，既损了政府形象，也伤了民心，必须加以整治。</w:t>
        <w:br/>
        <w:t xml:space="preserve">　　这正是：</w:t>
        <w:br/>
        <w:t xml:space="preserve">　　“混”字在心中，</w:t>
        <w:br/>
        <w:t xml:space="preserve">　　落实少行动。</w:t>
        <w:br/>
        <w:t xml:space="preserve">　　无为伤民心，</w:t>
        <w:br/>
        <w:t xml:space="preserve">　　蹉跎万事空。</w:t>
        <w:br/>
        <w:t xml:space="preserve">　　勾  犇图  张  凡文  </w:t>
        <w:br/>
        <w:t xml:space="preserve">　　工作节奏应当卡准</w:t>
        <w:br/>
        <w:t xml:space="preserve">　　陕西西安 仕 俭</w:t>
        <w:br/>
        <w:t xml:space="preserve">　　最近，在政府工作的一位朋友说，他正在起草当地的“十三五”专项规划。实际上，自2016年起，国家“十三五”规划就开始实施，当地却还在“规划”，令人费解。朋友解释说，先等上级归口单位的专项规划出台，然后调研、起草、讨论、征求意见和修改送审等，流程环节都占用大量时间，事情就拖到了现在。</w:t>
        <w:br/>
        <w:t xml:space="preserve">　　上级规划、下级“对表规划”，时间长、事务多，以至于拖延许久，这类现象不止一地存在。按理说，规划作为长远的工作计划和行动方案，要制定在前，否则，其指导价值也会打折扣。对于规划工作尤其是专项规划而言，按照程序办事、依照节奏展开，本就是一种工作原则，无可厚非，可如果刻板地执行、低效地落实，很容易把好事变坏事。试想，当地专项规划出台后，所辖市县也要相应配套，乡镇街道还要制定细则，如此传导，不免贻误发展良机、耽误发展大计。</w:t>
        <w:br/>
        <w:t xml:space="preserve">　　这启示我们，改革发展时不我待，工作节奏应该卡准、砸实。无论是具有管总性质的规划工作，还是日常的行政事务，都要更加注重“时、度、效”，而只有更准确地把握好“时间刻度”，才能掌握好“工作节奏”，方能彰显出“执行效果”。如此，才能少一些等一等、看一看、拖一拖，才能多一些“马上就办”“马上就好”。</w:t>
        <w:br/>
        <w:t xml:space="preserve">　　　　</w:t>
        <w:br/>
        <w:t xml:space="preserve">　　依法捍卫历史正道</w:t>
        <w:br/>
        <w:t xml:space="preserve">　　北京海淀 马意清</w:t>
        <w:br/>
        <w:t xml:space="preserve">　　近日，两则事件引人关注。一是，上海一男子在400余人的微信群中，散布“南京杀三十万太少”等言论；二是，两名男子在南京抗日碉堡遗址前，身穿仿制二战日本军服。无视历史、亵渎历史的行为激起众怒，他们也因不正当言行被依法处以行政拘留。</w:t>
        <w:br/>
        <w:t xml:space="preserve">　　历史是最好的教科书，但历史正道需要依法捍卫。现实中，亵渎、歪曲历史的言行不乏存在，甚至有些人以恶搞、娱乐的方式挑战公众的认知底线和历史情感。污蔑邱少云烈士、把慰安妇的痛楚做表情包、恶搞《黄河大合唱》等，无不是有意识或无意识地抹黑历史的行为，应该受到严厉的谴责，并依法给予相应的处罚。</w:t>
        <w:br/>
        <w:t xml:space="preserve">　　忘记历史意味着背叛，但捍卫历史不仅需要个人自觉，更要从倡导到立法、从执法到治理的全方位护航。实际上，一些人之所以热衷于解构历史、歪曲历史，特别是做出某些出格的行为，在很大程度上与违法成本较低、法律惩治不严有关。以此为契机，一方面推动英雄先烈和遗址遗物等国家目录的建立，另一方面通过专项立法明确保护态度、加大惩戒力度，不失为一种选择。只有真正用法律为历史正名、为英烈撑腰，才能让我们的价值天空更加闪耀。</w:t>
        <w:br/>
        <w:t xml:space="preserve">　　十九大提出乡村振兴战略，中央农村工作会议更为走好中国特色社会主义乡村振兴道路指明了七个具体方向。如何抓住城乡融合的要点，唤醒农村沉睡的资源？又如何兴盛乡村文化，激活传统乡村之魂？认真仔细解答好这些问题，农业才会更强、农村才会更美、农民才能更富。从今天起，我们将陆续邀请七位地方党报评论员，结合各地实际，观察乡村振兴的七条道路。</w:t>
        <w:br/>
        <w:t xml:space="preserve">　　——编 者 </w:t>
        <w:br/>
        <w:t xml:space="preserve">　　　　　</w:t>
        <w:br/>
        <w:t xml:space="preserve">　　党的十八大以来，城乡一体化发展的“进度条”在加速。无论农民收入水平还是农村城镇化水平，都有明显提高，乡村正积蓄着变革的伟力。党的十九大提出“城乡融合”的新方向，更为乡村振兴的“质变”吹响了有力号角。</w:t>
        <w:br/>
        <w:t xml:space="preserve">　　城乡融合，绝不只是图纸上将城与乡圈在一起，关键在于，如何实现要素的双向流动。当那些曾经让城市繁荣起来的要素能以比较低廉的成本顺利进入农村发展进程，乡村振兴就不会是一件难事。在江苏，去昆山朱浜村游玩的人，总会为那里的转型升级叫好。多年前，那里还满是砖瓦窑；改造后，古窑变成了有咖啡馆、文创市集、乡村书屋的公共文化空间。水乡风貌仍在，但发展的基因变了，文化、人才、商业、创意，借千年水道进入，汇聚起新的发展动能。</w:t>
        <w:br/>
        <w:t xml:space="preserve">　　从传统水乡到乡镇企业再到今天拓展出文创空间，朱浜村发展的前半程，展现了一条中国乡村发展的艰难之路；但其后半程，也见证了一条可行的转身之路。去年，江苏在全国率先启动特色田园乡村建设，全面推进城乡融合。这是对江苏改革开放以来以工补农、以工带农一体化发展经验的再提升，与中央提出的城乡“全面融合”要求高度一致。在3万个村庄中找试点，请设计师团队深入乡村开展田野调查，让要素回流乡村，让乡村提升内生活力，这条“回乡之路”体现着城市的回馈，回应着时代的呼声。当这样的村落星散开来，“明日的田园乡村”就不再是梦。</w:t>
        <w:br/>
        <w:t xml:space="preserve">　　也许有人会反驳，苏南水乡能够迅速发展起来，离不开“天生丽质”。其实，发展或因条件差异存在先后，但促进城乡间要素均衡流动、破除阻碍要素流动的体制机制障碍是共通的。农村精英不回乡、城市资源不下乡，一直是农村发展的难题。人从哪里来？怎么留得下？钱从哪里来？如何用在刀刃上？回答好这些问题，乡村振兴之路就走通了大半。比如，今天城乡发展最大的落差在公共基础设施上，公共财政不妨多投向社会资本不愿投或覆盖不到的角落；从资金来源上看，也可尝试改变，把城镇化过程中土地出让收益的蛋糕多切一些给农民、多留一些在农村。</w:t>
        <w:br/>
        <w:t xml:space="preserve">　　城乡的二元发展曾经历了很长的历史周期，这也注定城乡融合发展不是眼前工程、应急工程，而是长期的历史性任务。所以，对于各地的具体探索不妨多点耐心和包容。反过来说，经历了城市化进程中的一系列城市病，我们有必要也有能力在乡村振兴进程中作出更具前瞻性的思考。江苏推进特色田园乡村建设，就非常注重乡村的形神兼备。既要留住乡村的“形”，全力恢复乡村历史质感、保护乡村原有风貌，更注重留住乡村的“魂”，留住乡村的非物质文化传统。保护一座祠堂，保护一棵古木，不仅能让乡愁多一个寄托之所，也能因为自重而赢得更多尊重。</w:t>
        <w:br/>
        <w:t xml:space="preserve">　　乡村振兴，最终旨归是“人”。农民如何真正成为乡村振兴的最大受益者？具体的规划会给生产生活带来怎样的变化？是不是真正“融”好了？需要时刻注意和校验。换句话说，绝不能用建设城市的思路来建设农村，用发展工业的思路发展农村，而应该因村制宜，像爱惜生命一样爱惜乡村的个性。而在积极发挥财政“四两拨千斤”作用、鼓励社会资本下乡的同时，也要规范政府举债融资行为，避免变相违规举债，避免资本掏空乡村。在实战中琢磨出实招，在干事创业中凝聚合力，城乡的真正融合一定能实现。</w:t>
        <w:br/>
        <w:t xml:space="preserve">　　“古城年味，就是不一样！”正月初五，西安大唐芙蓉园火树银花。河南游客张俊辰早早赶到，在丝丝春雨中静候一场“空中盛宴”。</w:t>
        <w:br/>
        <w:t xml:space="preserve">　　21时整，300架无人机腾空而起，宛若“夜空中的精灵”。伴随全国各地游客的喝彩声，色彩变幻的无人机翻转盘旋，时而组成金元宝，时而变为财神爷，各式祈福图案将“西安年·最中国”系列节庆活动推向高潮。</w:t>
        <w:br/>
        <w:t xml:space="preserve">　　春临长安，福喜盈门。连日来，古城西安多景点联动，洋溢浓浓年味：永兴坊非遗美食街区游人熙攘，舌尖上的陕西美味人气爆棚；大唐西市人头攒动，社火、高跷、旱船等民俗演出令市民大呼过瘾；西安城墙点亮万盏花灯，大型主题花灯“瑞犬啸月”高18米，全身采用几何切面元素，绚丽多彩……</w:t>
        <w:br/>
        <w:t xml:space="preserve">　　走进“西安年·最中国”活动核心区，曲江大唐不夜城现代唐人街上热闹非凡。伴随震天锣鼓声，“盛世长安”“龙吟九州”等不同造型的花车巡游，将街道变成欢乐的海洋。</w:t>
        <w:br/>
        <w:t xml:space="preserve">　　“在西安过年，既有传统文化的历史感，又有时尚都市的‘国际范儿’！”陕西榆林游客李欣连连感叹。据了解，春节假日期间，西安推出18类180多项节庆活动，共接待游客1269.49万人次。</w:t>
        <w:br/>
        <w:t xml:space="preserve">　　春节期间，种类繁多的节庆活动点亮三秦大地。</w:t>
        <w:br/>
        <w:t xml:space="preserve">　　咸阳市工人文化宫里，春节民间艺术展演正酣。渭城布贴画、秦都秦腔脸谱、彬县掐丝画、兴平泥塑……200余件艺术品琳琅满目，市民游客大饱眼福。面花色彩艳丽，造型夸张的小动物憨态可掬。它们由三原、乾县等地民间艺人精心制作而成。不远处，8名非遗传承人取出工具，现场展示拿手绝活，收获“粉丝”无数。看着传承人的娴熟技法，市民王文辉感叹，“这些民俗精品，让我找回了儿时的记忆。”</w:t>
        <w:br/>
        <w:t xml:space="preserve">　　正月初八到十六，一年一度的“戏台搭在馆门口·民间文艺闹新春”系列文化活动，在安康市群众艺术馆火热上演。《汉水新韵》《歌鼓乐安康》等精彩节目均由市民自编自演，英姿少年、矍铄老人或拉或弹，或歌或舞，引来观众阵阵掌声。</w:t>
        <w:br/>
        <w:t xml:space="preserve">　　“生活好了，越来越多的人加入排演队伍。”前来参演的天姿艺术团团长张晓利说，“我们要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