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代 新税貌”为主题，进一步推出5类20项便民办税措施，不断优化税收营商环境。同时，国家税务总局发布了《办税事项“最多跑一次”清单》。</w:t>
        <w:br/>
        <w:t xml:space="preserve">　　“今年‘便民办税春风行动’的当头炮，是全面推开纳税人办税事项‘最多跑一次’改革。”税务总局纳税服务司副司长张维华介绍，办税事项“最多跑一次”，是指税务机关通过优化办税流程、提升纳税服务质效、融合线上线下办税，在资料完整并且符合法定受理条件的情况下，让纳税人办理《清单》范围内的事项，最多只需要到税务机关一次或者全程网上办理。</w:t>
        <w:br/>
        <w:t xml:space="preserve">　　2月25日，一名小朋友在南京夫子庙花灯市场提着新买的花灯。</w:t>
        <w:br/>
        <w:t xml:space="preserve">　　元宵节临近，南京夫子庙花灯市场人头攒动，各种花灯开始热销，吸引市民前来挑选。 </w:t>
        <w:br/>
        <w:t xml:space="preserve">　　李文宝摄（新华社发） </w:t>
        <w:br/>
        <w:t xml:space="preserve">　　本报北京2月26日电  （记者欧阳洁）2018年处置非法集资部际联席会议（扩大会议）近日召开。会议认为，当前非法集资高发蔓延势头有所遏制，但案件总量仍居高位，东部沿海地区和中西部人口大省等地区案件集中，类金融和互联网金融、房地产、涉农合作组织等重点领域风险突出。</w:t>
        <w:br/>
        <w:t xml:space="preserve">　　会议提出，要建立健全相关法律制度。督促各地依法稳妥处置重大案件，加快消化陈案，协同处置好跨省案件，妥善化解风险隐患。对一些打着“高大上”旗号、花样百出、没有可持续盈利模式的庞氏骗局，各地要果断处置、坚决打击。</w:t>
        <w:br/>
        <w:t xml:space="preserve">　　会议同时指出，各地、各有关部门要整合资源，进一步建立健全立体化、社会化、信息化的监测预警体系。地方政府要加大举报奖励制度宣传和实施力度，建立线上线下相结合、常态化的风险排查机制，加强动态监测。</w:t>
        <w:br/>
        <w:t xml:space="preserve">　　本报广州2月26日电  （记者李刚）记者今天从人行广州分行获悉：近期一境外能源公司在广州碳排放权交易所买入10万吨碳排放配额，开启了广州地区首笔碳排放权交易人民币跨境结算业务。</w:t>
        <w:br/>
        <w:t xml:space="preserve">　　在此之前，该公司专门开立境外机构碳交易人民币专用存款账户（简称“NRA”）用于办理碳排放权交易项下资金收付。此笔业务也是近期广东省和人民银行广州分行推动依托以“NRA+”为特殊账号开展跨境金融业务创新举措的又一例子。</w:t>
        <w:br/>
        <w:t xml:space="preserve">　　去年，在沪外资银行业绩亮眼，截至2017年末，上海外资银行同比增长13.0%，增速创近5年来新高；上海外资银行占上海银行业资产的比重回到10%以上，年末达10.6%，为近两年来最高。</w:t>
        <w:br/>
        <w:t xml:space="preserve">　　为何外资银行实力会快速提升？这源于中国继续开放的政策，以及在沪外资银行对中国发展的信心。</w:t>
        <w:br/>
        <w:t xml:space="preserve">　　2013年，国务院批准设立上海自贸区，在沪金融机构能够利用自贸区政策红利积极创新、拓展业务。2015年，上海自贸区扩区，陆家嘴金融片区、金桥开发片区、张江高科片区等三大片区正式纳入上海自贸区。2017年以来，由于外资银行对中国经济以及中国银行业的信心，境外母行核准的对中国银行业同业授信规模较大，在沪外资银行积极从母行拆入资金，投入境内市场，带动投资同业存单、拆放同业等业务量增长。</w:t>
        <w:br/>
        <w:t xml:space="preserve">　　“一带一路”倡议给外资银行带来了机会。上海银监局鼓励和支持在沪外资银行积极探索和调整运营策略，通过境内外联动，为中资企业“走出去”提供金融服务。外资银行作为纽带，促成了母行或集团其他海外分支机构与中资企业的业务往来，既为母行的全球业务做出了贡献，又开拓和巩固了与这些中资企业在国内的业务往来。</w:t>
        <w:br/>
        <w:t xml:space="preserve">　　上海雄厚的经济实力和辐射经济的能力也是外资银行实力增强的重要原因。地处长三角中心，上海对周边省市具有较强的辐射能力。</w:t>
        <w:br/>
        <w:t xml:space="preserve">　　同时，上海还可与国际金融中心伦敦、纽约构建连续24小时的接力营业交易。</w:t>
        <w:br/>
        <w:t xml:space="preserve">　　在沪中外资银行合作也不断加强。2017年，在沪外资银行与中资银行共计新开展13项合作项目，合作金额895亿元。</w:t>
        <w:br/>
        <w:t xml:space="preserve">　　伴随着经济走势向好，整体客户贷款需求回暖，在沪外资银行贷款更加集中地投向实体经济的重点领域，带动贷款量持续增长。截至2017年末，上海外资银行各项贷款余额投向制造业和批发零售业的比重合计为52.2%，高于辖内银行业金融机构。</w:t>
        <w:br/>
        <w:t xml:space="preserve">　　本报太原2月26日电  （记者刘鑫焱）日前，山西转型综改示范区配售电有限公司获发工商营业执照，成为山西首家混合所有制配售电公司。这标志着山西增量配电业务改革试点工作迈出了关键性一步。</w:t>
        <w:br/>
        <w:t xml:space="preserve">　　山西转型综合改革示范区科技创新城（太原）增量配电业务试点项目是山西省第一个以公开招标方式确定增量配电网投资主体的项目。新成立的配售电公司注册资金2亿元，股东包括电网企业、发电企业、政府全资投资公司和部分民营股份。该公司负责山西转型综改示范区科技创新城、潇河产业园区212.76平方公里范围内的配电网建设、合同能源管理、清洁能源开发与利用、太阳能和风能技术开发等服务，配电网工程及配套设施投资将达32.86亿元。</w:t>
        <w:br/>
        <w:t xml:space="preserve">　　今年是全面贯彻党的十九大精神的开局之年，是决胜实现国防和军队建设2020年目标任务的关键一年。贯彻落实党的十九大的战略部署，实现党在新时代的强军目标、建设世界一流军队，对全民国防教育提出新的更高要求。本报记者近日采访了国家国防教育办公室负责人。</w:t>
        <w:br/>
        <w:t xml:space="preserve">　　立起根本遵循，明确前进方向</w:t>
        <w:br/>
        <w:t xml:space="preserve">　　问：党的十九大对加强全民国防教育作出了重要部署，全民国防教育如何适应新时代要求，凝聚起实现中国梦强军梦的强大力量？</w:t>
        <w:br/>
        <w:t xml:space="preserve">　　答：以习近平同志为核心的党中央高度重视全民国防教育，始终作为一项战略任务来抓。习近平总书记在党的十九大报告中强调指出，我们的军队是人民军队，我们的国防是全民国防。要加强全民国防教育，巩固军政军民团结，为实现中国梦强军梦凝聚强大力量。习近平总书记的重要指示，为做好新时代全民国防教育提供了根本遵循、指明了前进方向。</w:t>
        <w:br/>
        <w:t xml:space="preserve">　　国防教育作为党的宣传思想工作和国民教育的重要组成部分，是提高全民素质、培塑民族精神的重要途径，是全面推进国防和军队现代化的基础性工程，是凝聚实现中国梦强军梦强大力量的战略之举、长远之策。加强全民国防教育，对于弘扬爱国主义精神、强化忧患危机意识、传承红色基因血脉、涵育崇军尚武文化、增强全民国防观念，意义重大而深远。今年全民国防教育总的要求是：全面贯彻党的十九大精神，以习近平新时代中国特色社会主义思想和强军思想为指导，认真落实习总书记关于加强全民国防教育的重要指示要求，紧紧围绕维护国家主权、安全、发展利益，坚持突出工作重点，拓展教育领域，创新方式方法，着力推动实现教育对象、时间、地域、内容、手段“五个全覆盖”，不断强化广大干部群众全民国防观念和爱军拥军意识，为实现中国梦强军梦凝聚强大力量。</w:t>
        <w:br/>
        <w:t xml:space="preserve">　　推进深化改革，开创崭新局面</w:t>
        <w:br/>
        <w:t xml:space="preserve">　　问：如何用好深化改革这个关键一招，开创新时代全民国防教育新局面？</w:t>
        <w:br/>
        <w:t xml:space="preserve">　　答：按照中央关于深化改革的部署要求，我们坚持紧前推进、稳中求进、注重质效的原则，扎实推进改革不断取得新成效。经过一年多的深入调研论证和广泛征求意见，深化全民国防教育改革《意见》已基本成熟，主要是围绕破解影响制约国防教育创新发展的体制性障碍、结构性矛盾和政策性问题，明确改革的目标原则、主要任务和工作分工。改革《意见》出台后，扎实抓好学习宣传贯彻，指导各级结合实际抓好改革任务落实。重点是探索构建3个体系：一是组织领导体系。坚持党管教育原则，健全完善国防教育领导体制，规范运行机制，推动形成党委统一领导、职责任务明确、沟通协调顺畅、工作督导有力的组织领导体系。二是考核评价体系。会同中央和国家机关有关部门组织国防教育考评体系试点，指导各地探索将国防教育工作纳入党政机关目标绩效管理、学校绩效考评体系，纳入双拥模范城（县）考评内容，充分发挥各级人大、政协的作用，对依法开展国防教育工作情况定期进行检查监督，推动国防教育落地见效。三是政策法规体系。着眼适应新时代、实现新作为、开创新局面，今年我们还考虑启动国防教育法、全民国防教育大纲的修订工作，研究论证调整全民国防教育日。</w:t>
        <w:br/>
        <w:t xml:space="preserve">　　组织军营开放，激发爱军热情</w:t>
        <w:br/>
        <w:t xml:space="preserve">　　问：去年，中央军委批准发布了军营开放办法，广大群众热切期盼到军营参观见学，今年军营开放有什么安排？</w:t>
        <w:br/>
        <w:t xml:space="preserve">　　答：军营浓厚的军事文化和官兵昂扬的战斗精神，特别是全面深化国防和军队改革以及部队建设发展取得的巨大成就，是开展全民国防教育的宝贵资源和鲜活教材。去年9月30日，军委批准发布《中国人民解放军军营开放办法》，为各部队规范有序组织军营向社会开放提供了基本遵循。今年，我们将认真贯彻落实《办法》规定，积极稳妥推开军营向社会开放。首先，指导各军兵种和武警部队严格遴选确定开放单位，制定开放计划，指导各级国防教育机构与军营开放单位建立完善沟通协调机制。其次，指导军兵种和武警部队各在1至2个旅团级单位开展试点，研究探索增强军营开放吸引力实效性的方法路子，适时召开军营开放工作研讨会，推广经验做法。研制军营开放信息管理平台，建立军营开放单位数据库，推动军营开放活动制度化规范化。再次，我们还将会同军兵种和武警部队，在重大节庆日举办2至3场全国性大型军营开放活动，充分展示改革强军巨大成就和新时代军人良好风貌，激发人民群众爱军尚武热情。国家国防教育办公室将适时对各地组织开放活动情况进行检查通报。</w:t>
        <w:br/>
        <w:t xml:space="preserve">　　夯实基本建设，提供有力支撑</w:t>
        <w:br/>
        <w:t xml:space="preserve">　　问：推动国防教育在全社会普及深入需要打牢教育基础，今年在基本建设方面有哪些动作？</w:t>
        <w:br/>
        <w:t xml:space="preserve">　　答：全民国防教育是面向13亿多人的教育，只有打牢教育基础才能为实现教育对象、时间、地域、内容、手段“五个全覆盖”提供有力支撑。今年我们将着力加强4个方面的建设：一是研究建立国防教育社会组织。鼓励引导企业、社会力量依法参与国防教育，按照积极稳妥、可控可用的原则，探索建立国防教育协会、基金会、学会等社会组织，出台国防教育社会组织管理的相关规定，充分运用社会力量开展国防教育，形成人人有责、人人参与的新格局。召开首届国防教育创新论坛，形成一批指导性实践性强的研究成果。二是打造综合效能高的国防教育场所。指导各地统筹利用现有资源，将国防教育场所建设纳入城乡建设规划，有条件的省份启动建设省级军事博物馆。支持江西省南昌市建设国防教育示范城，在全国遴选并重点指导建设10个大型国防教育综合基地。组织对国家国防教育示范基地进行考核，建立问责整改和淘汰退出机制，增强国防教育基地的管理使用效益。遴选命名第四批国家国防教育示范基地。三是拓展国防教育宣传阵地。深度整合各类媒体资源，大力支持国防教育新媒体平台建设，建设国防教育网站，开展优秀国防教育类微信、微博评选活动，制作国防教育慕课、微课；推广使用国防万映电影教育平台，组织开展国防和军事题材优秀影片公益放映活动，征集评选优秀国防教育微电影、宣传画，扩大教育的覆盖面和影响力。加大边疆民族地区国防教育工作力度，推广宁夏的经验做法，在新疆、西藏探索推开国防教育进宗教场所对信教群众进行教育，促进边疆社会稳定和民族团结。四是加强国防教育教材和师资力量建设。调整充实国家国防教育师资库，组织评选优秀国防教育宣讲教案和宣讲骨干。组织编写第五批全国干部学习培训教材《全面推进国防和军队现代化》，出版发行《中国特色基本军事制度读本》，为广泛深入开展国防教育提供有力支撑。</w:t>
        <w:br/>
        <w:t xml:space="preserve">　　要以坐不住、等不起、慢不得的紧迫感，以勇于担当、敢于负责的使命感，聚焦实干、强化执行、狠抓落实。</w:t>
        <w:br/>
        <w:t xml:space="preserve">　　　　　　 </w:t>
        <w:br/>
        <w:t xml:space="preserve">　　时间：2月25日</w:t>
        <w:br/>
        <w:t xml:space="preserve">　　场合：辽宁省政府“重实干、强执行、抓落实”动员部署会议</w:t>
        <w:br/>
        <w:t xml:space="preserve">　　　　</w:t>
        <w:br/>
        <w:t xml:space="preserve">　　“事业只有干出来的精彩，没有等出来的辉煌。开年就要开工，开工就要做实。”春节刚过，辽宁省政府召开“重实干、强执行、抓落实”专项行动动员部署会议，辽宁省委副书记、省长唐一军在会上要求全省各地各部门少说多做，埋头苦干，实干兴辽。</w:t>
        <w:br/>
        <w:t xml:space="preserve">　　“当前辽宁正处于加快发展的关键时期，跨越阶段的重要关口，必须采取超常规的举措来落实工作、推动工作。”唐一军强调，“面对全国百舸争流的发展态势，辽宁要以坐不住、等不起、慢不得的紧迫感，以勇于担当、敢于负责的使命感，聚焦实干、强化执行、狠抓落实。”</w:t>
        <w:br/>
        <w:t xml:space="preserve">　　“这是推进干部作风建设，重塑辽宁干部形象的重要一招。近年来，辽宁省党风政风有了明显好转，但与新形势新任务新要求和群众新期待相比，还存在思想不够解放、作风不够扎实、工作不够精细、精神不够振奋、本领不够过硬等问题和短板，”唐一军要求全省上下以开展专项行动为契机，坚决转变干部作风，“强化‘干’的导向，弘扬‘干’的精神，营造‘干’的氛围，落实‘干’的行动，努力干出辽宁振兴新局面、干出辽宁干部新形象。”</w:t>
        <w:br/>
        <w:t xml:space="preserve">　　辽宁省政府把开展“重实干、强执行、抓落实”专项行动作为一项硬任务，为此制定了实施意见，明确了重大振兴举措抓落实、重大改革创新抓落实等八大专项行动，180项重点任务，全部纳入督查考核。</w:t>
        <w:br/>
        <w:t xml:space="preserve">　　如何抓好落实？唐一军表示，“既然挂图作战，就要绩效对账，强化督促检查。省政府下决心、动真格，每个月检查一次，每季度督查一次，让人民群众看到我们的工作不断取得实实在在的进展，各级干部的作风不断发生切切实实的转变。”</w:t>
        <w:br/>
        <w:t xml:space="preserve">　　本报广州2月26日电  （记者邓圩）截至2月26日，广州市纪委累计收到121个单位查出涉及形式主义、官僚主义的疑似问题1677个，已提出整改措施2528条，完成整改2048条。春节期间，广东省纪委、省监委把明察暗访作为整治“四风”问题的重要抓手，全省上下联动、分级负责，持之以恒正风肃纪，营造风清气正的节日氛围。</w:t>
        <w:br/>
        <w:t xml:space="preserve">　　广州市纪委春节前夕进一步优化纠正“四风”问题明察暗访队伍，既紧盯公款吃喝、公款送礼、窗口值班等突出的“节日病”，又把官僚主义、形式主义作为重点。春节期间，佛山市区联动开展明察暗访，实行节日期间“四风”问题值班、报告和督办制度。惠州龙门县组成5个暗访工作组，采取“轮番查”“回头查”等方式，有效避免了暗访人员的“熟面孔”给工作带来的说情、通风报信等负面效应，让全体公职人员时时处处事事绷紧纪律之弦。肇庆高要区纪委共组成6个暗访组、暗访26个点，发现个别单位涉嫌存在违规公款消费、人员缺岗等问题，目前正在作进一步核查。</w:t>
        <w:br/>
        <w:t xml:space="preserve">　　珠海市纪委、市监委在春节节前、节中和节后三个时间段，从委机关、派驻纪检组和市电视台抽调人员组成9个小组，对镇街、医院、公安派出所等窗口部门开展督查。发现个别值班人员脱岗或提前离岗等问题，同时立案查处了某国有企业2名领导干部接受可能影响公正执行公务的宴请及值班期间饮酒等问题，其中1人受到党内严重警告处分，1人受到党内严重警告处分和行政免职处理，并在全市予以通报。</w:t>
        <w:br/>
        <w:t xml:space="preserve">　　广东省纪委有关负责人介绍，广东坚决贯彻党中央关于全面从严治党的决策部署，锲而不舍抓好作风建设、驰而不息纠正“四风”。今年1月份，全省共查处违反中央八项规定精神问题111起，处理228人，给予党纪政纪处分209人。</w:t>
        <w:br/>
        <w:t xml:space="preserve">　　近年来，司法实践中多次发生犯罪嫌疑人假装精神病逃避法律刑罚，或者正常人被当成精神病被强制医疗的案例。针对精神病鉴定领域存在的乱象，最高人民检察院日前印发《人民检察院强制医疗决定程序监督工作规定》，要求规范检察机关强制医疗决定程序监督工作，维护公共安全，维护诉讼参与人的合法权利，保障强制医疗程序的正确实施，坚决防止和纠正犯罪嫌疑人“假冒精神病人”逃脱法律制裁和普通人“被精神病”而错误强制医疗。</w:t>
        <w:br/>
        <w:t xml:space="preserve">　　《规定》共23条，对公安机关办理强制医疗案件的侦查活动监督、强制医疗决定执行中发现的错误强制医疗决定的监督以及检察院提出纠正意见和审查可能错误强制医疗决定的内部工作程序和司法权责等内容分别作出详细规定。</w:t>
        <w:br/>
        <w:t xml:space="preserve">　　为提高监督准确性，《规定》明确要求，检察机关在办理公安机关移送的强制医疗案件时，可以会见涉案精神病人，询问办案人员、鉴定人，听取涉案精神病人法定代理人、诉讼代理人意见，向涉案精神病人的主治医生、近亲属、邻居、其他知情人员或基层组织等了解情况，向被害人及其法定代理人、近亲属等了解情况，就有关专门性技术问题委托具有法定资质的鉴定机构、鉴定人进行鉴定，开展相关调查。</w:t>
        <w:br/>
        <w:t xml:space="preserve">　　《规定》要求检察院在办理公安机关移送的强制医疗案件时，发现公安机关对涉案精神病人进行鉴定的程序存在鉴定机构不具备法定资质，或者精神病鉴定超出鉴定机构业务范围、技术条件；鉴定人不具备法定资质，精神病鉴定超出鉴定人业务范围，或者违反回避规定；鉴定程序违反法律、有关规定，鉴定的过程和方法违反相关专业的规范要求；鉴定文书不符合法定形式要件；鉴定意见没有依法及时告知相关人员；鉴定人故意作虚假鉴定等六种具体情形的，应当依法提出纠正意见。</w:t>
        <w:br/>
        <w:t xml:space="preserve">　　本报北京2月26日电  （记者贺勇）“能用上这么经济实惠的电梯，真是最好的春节礼物啊！”家住北京市大兴区兴丰街道黄村西里社区56号楼5单元的杨桂香老人激动地说。春节前夕，老旧小区黄村西里56号楼3单元、5单元加装电梯工程完成施工并投入使用，这也是北京首批采用“垂直公交”运营模式的电梯之一，居民不用缴纳建设和维护费用，根据个人实际需求，刷卡使用，单人单次0.2元。</w:t>
        <w:br/>
        <w:t xml:space="preserve">　　随着人口老龄化加剧，在老旧小区加装电梯成为现实需求。然而安装工作迟迟未见明显效果，其中既有资金筹措难，也有业主沟通难。为解决老旧小区加装电梯难题，北京开始尝试按需收费的“公交式”电梯模式，列入首次试点安装的56号楼3单元、5单元，居民同意率为100%，从开动员会到全部签约，仅用了十几天时间。</w:t>
        <w:br/>
        <w:t xml:space="preserve">　　大兴区住建委相关负责人表示，签约快主要得益于技术方案的进步带来的计费方式的改变，前期居民不用为安装电梯凑钱，后期不用“包月”“包年”，而是按照自己的实际使用情况，刷卡乘坐，按次收费，愿意走楼梯依旧可以走楼梯，不使用的话不会有任何支出。这对于一个三口之家而言，平均每月的使用费用也就是60元左右，最多不超过100元。</w:t>
        <w:br/>
        <w:t xml:space="preserve">　　不同于以往老楼加装电梯采用的外挂施工模式，本次在黄村西里社区56号楼3单元、5单元启用的电梯借用了老楼原有的两平方米多的通风天井，自成一体，不会对建筑产生破坏。电梯的机械设备安装在距离顶楼两米多高的位置，最大限度降低了噪音。电梯门与入户门处于同一水平面，平层入户，距离家门仅一步之遥，方便轮椅等设备的无障碍通行。</w:t>
        <w:br/>
        <w:t xml:space="preserve">　　此次为老旧楼房加装电梯享受相关财政补贴政策，实施主体享受电梯安装最高补贴24万元，管道改造最高补贴40万元。</w:t>
        <w:br/>
        <w:t xml:space="preserve">　　春节期间，内蒙古呼伦贝尔扎兰屯金龙山滑雪场游客猛增，扎兰屯市公安局交警大队民警深入滑雪场通过现场宣讲、发放宣传单等形式，开展交通安全宣传教育活动，确保山区道路行车安全。</w:t>
        <w:br/>
        <w:t xml:space="preserve">　　韩  冷  教传峰摄影报道（人民视觉）  </w:t>
        <w:br/>
        <w:t xml:space="preserve">　　本报银川2月26日电  （记者朱磊）宁夏回族自治区党委政法委、综治办、见义勇为基金会等部门日前与中国人民财产保险股份有限公司宁夏分公司正式续签，将见义勇为人身意外伤害保险最高理赔金额提高到90万元，并为宁夏目前所有的见义勇为者建立保险机制。</w:t>
        <w:br/>
        <w:t xml:space="preserve">　　据了解，宁夏为见义勇为者投保人身意外伤害无记名保险，见义勇为者意外身故，意外残疾、烧伤，每人最高给予90万元；意外住院医疗和附加医疗费用，最高给付20万元。</w:t>
        <w:br/>
        <w:t xml:space="preserve">　　从今年起，宁夏为2018年1月26日前已审核的，历年来受到县级以上表彰的10岁至77岁见义勇为者，建立人身意外伤害及疾病身故保险机制。当天，宁夏将473名见义勇为者，以及每位见义勇为者的配偶或父母1人，共946人全部纳入保险范围。见义勇为者的投保金额为每人每年160元，意外身故、残疾保额为3.5万元，意外或疾病住院津贴为每人每天120元。所有保费均由自治区党委政法委见义勇为专项资金支付。</w:t>
        <w:br/>
        <w:t xml:space="preserve">　　教育部日前印发《关于做好2018年普通中小学招生入学工作的通知》（以下简称《通知》），要求要逐步压缩特长生招生规模，直至2020年前取消各类特长生招生。继续清理和规范中考加分项目，尚未全面取消体育、艺术等加分项目的地方，要从2018年初中起始年级开始执行。</w:t>
        <w:br/>
        <w:t xml:space="preserve">　　作为我国招生考试制度的补充，特长生教育一直是传统课堂教育的外延，对学生体育、科技、艺术等特长培养起到了积极作用。但近年来，一些人利用特长生政策进行利益交换，破坏了教育公平。</w:t>
        <w:br/>
        <w:t xml:space="preserve">　　如今，义务教育与高中阶段教育当中，特长生招考的情况如何？取消以后学校如何选拔有特长的人才？一个理想的选拔和教育模式应该是怎样的？</w:t>
        <w:br/>
        <w:t xml:space="preserve">　　小升初和中考加分项已大幅度减少，但多数地方仍保留特长生招生制度</w:t>
        <w:br/>
        <w:t xml:space="preserve">　　近几年，小升初和中考加分项目、加分幅度都已大幅度减少、严格控制，少数地方已取消了体育、艺术等学生加分，但到目前为止，多数省区市依然保留着特长生招生制度。</w:t>
        <w:br/>
        <w:t xml:space="preserve">　　针对特长生招考过程中出现的乱象，相关部门不断出台文件。2014年初，教育部发布《关于进一步做好小学升入初中免试就近入学工作的实施意见》，要求逐步减少小升初过程中的特长生，到2016年，经省级教育行政部门批准招收特长生的学校所招收的特长生比例应降到5%以内。2014年9月出台的《国务院关于深化考试招生制度改革的实施意见》中，更是要求减少和规范考试加分，大幅减少、严格控制加分项目，并于2015年起取消考试中体育、艺术等特长生加分。</w:t>
        <w:br/>
        <w:t xml:space="preserve">　　各地方也有各自严格的规定。上海根据2月上旬已经公布的《2018年上海义务教育阶段招生入学实施意见》，对于小升初，明确要求严格管理，建立健全特长生资格确认制度；初中体育、艺术特长生招收数严格控制在本年级学生总数的5%以内；拟录取的体育、艺术特长生名单须在就读小学张榜公示，同时送区教育行政部门审核。2016年，山西要求取消义务教育阶段的特长生招生；2017年湖北省要求各县（市、区）经教育厅批准招收特长生的初中招收特长生比例须降到初中招生总人数的5%以内；北京市在义务教育阶段也持续控制特长生入学比例，各区招收小升初特长生占本区招生总人数之比从2016年的5%降低到2017年的4%。</w:t>
        <w:br/>
        <w:t xml:space="preserve">　　义务教育阶段之外，高中阶段考试对特长生招生的规定也越来越细，形式也越来越规范、复杂，为的就是破除招考环节当中可能出现的舞弊与作假问题。</w:t>
        <w:br/>
        <w:t xml:space="preserve">　　湖北省武汉市在《市教育局关于安排2017年全市各级各类事业计划的意见》当中要求，以特长生身份参加录取的考生，包括具有市体育艺术特色高中资格的普通高中学校，须参加由市教育局统一组织的测试，在录取中，第一批次高中录取体艺特长生的分数不得低于一般公办普通高中录取资格线；而山西省太原市在2017年的中招工作中，将全市44所招收特长生的学校及各校招生计划，以及考试内容与计分方法等若干信息全部进行了详细的公示。</w:t>
        <w:br/>
        <w:t xml:space="preserve">　　不只是规范特长生招生，更强调重视学生学业水平考试，减少机械性训练</w:t>
        <w:br/>
        <w:t xml:space="preserve">　　上海市教育科学研究院普通教育研究所所长汤林春认为，教育部下发的《通知》，是将一系列保障义务教育阶段入学公平措施，从原来的局部试点经验变为全面覆盖，并出台了配套政策，尤其是高中招生、考试制度改革，不只是规范特长生招生，更强调中考命题严格依照课程标准，重视学生学业水平考试、综合素质评价作用等，减少机械性训练，都是“做减法”，代表了教育改革的方向。</w:t>
        <w:br/>
        <w:t xml:space="preserve">　　“教育部针对特长生的政策一直在收缩，包括特长生的范畴、类型、分值及规模都在逐渐缩小，全部取消是必然结果。”中国教育科学研究院教授张男星进一步分析，虽然作为政策含义的“特长生”消失了，但是作为教育含义的“特长生”复活了。过去那种以高考为标杆的“特长”教育将被特色教育、个性化教育所替代，每个学生不再局限于特长生招生制度的那些特长，所有学生都可以突显出不同方面的兴趣与特长。可以说，以后人人都可以是“特长生”了。</w:t>
        <w:br/>
        <w:t xml:space="preserve">　　张男星认为，特长生与非特长生的政策及认知框架被打破后，社会教育培训机构将会迎来一个去劣存优的过程，那些拔苗助长、功利性的培训做法将失去土壤，为特长而特长的培训、为考试而考试的教育将越来越没有市场。</w:t>
        <w:br/>
        <w:t xml:space="preserve">　　“政策不会对我们产生很大影响。”在南京一家主打美术绘画等的社会教育培训机构，相关负责人员坦言，虽然也会有少数怀有功利性目的的家长，但来参加培训的孩子中，绝大部分都是出于自身兴趣和爱好，为了全面提高综合素质和发展空间，而不是为了一定要考到某个级别、为以后在中考和高考中加分。</w:t>
        <w:br/>
        <w:t xml:space="preserve">　　但一位小学低年级的学生家长则认为，虽然不能为了考试而忽视对爱好的培养，但课外兴趣班的学习确实会占用一定时间精力。取消了特长加分以后，也要认真考虑一下投入产出比，在升入高年级时可能会酌情给孩子减少部分培训内容。</w:t>
        <w:br/>
        <w:t xml:space="preserve">　　在云南西部某市，早在前几年就取消了特长生中考加分政策。“当时确实出现了乱象，部分足球、篮球运动员虽然取得了相应名次，可是并未上场参赛，水平并不高；而艺术特长生往往都是城区孩子获得，对偏远山区孩子不公平。”该市教育局相关负责同志说。不过，全市特长生加分政策取消后，部分高中却反映，无法招到合适的艺术、体育特长生人才，导致学校相关活动及高考受到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