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展战略和国家知识产权战略，强化知识产权创造、保护、运用，破解制约知识产权审判发展的体制机制障碍，充分发挥知识产权审判激励和保护创新、促进科技进步和社会发展的职能作用，提出以下意见。</w:t>
        <w:br/>
        <w:t xml:space="preserve">　　一、总体要求</w:t>
        <w:br/>
        <w:t xml:space="preserve">　　（一）指导思想</w:t>
        <w:br/>
        <w:t xml:space="preserve">　　全面贯彻落实党的十九大精神，以习近平新时代中国特色社会主义思想为指导，牢固树立“四个意识”，按照统筹推进“五位一体”总体布局和协调推进“四个全面”战略布局要求，紧紧围绕“努力让人民群众在每一个司法案件中感受到公平正义”目标，坚持司法为民、公正司法，不断深化知识产权审判领域改革，充分发挥知识产权司法保护主导作用，树立保护知识产权就是保护创新的理念，优化科技创新法治环境，推动实施创新驱动发展战略，为实现“两个一百年”奋斗目标和建设知识产权强国、世界科技强国提供有力司法保障。</w:t>
        <w:br/>
        <w:t xml:space="preserve">　　（二）基本原则</w:t>
        <w:br/>
        <w:t xml:space="preserve">　　——坚持高点定位。立足国家战略层面，紧紧围绕党和国家发展大局，积极适应国际形势新变化，加强事关知识产权审判长远发展的全局性、体制性、根本性问题的顶层设计，改革完善知识产权司法保护体制机制。</w:t>
        <w:br/>
        <w:t xml:space="preserve">　　——坚持问题导向。紧扣人民群众司法需求，针对影响和制约知识产权审判发展的关键领域和薄弱环节，研究对策措施，着力破解难题、补齐短板，进一步提升知识产权司法保护水平。</w:t>
        <w:br/>
        <w:t xml:space="preserve">　　——坚持改革创新。解放思想，实事求是，遵循审判规律，以创新的方法激励创新，以创新的方式保护创新，以改革的思维解决知识产权审判领域改革中面临的问题和困难，使改革创新成为知识产权审判持续健康发展的动力源泉。</w:t>
        <w:br/>
        <w:t xml:space="preserve">　　——坚持开放发展。既立足我国国情，又尊重国际规则，借鉴国际上知识产权司法保护的成功经验，积极构建中国特色知识产权司法保护新模式，不断增强我国在知识产权国际治理规则中的引领力。</w:t>
        <w:br/>
        <w:t xml:space="preserve">　　（三）改革目标</w:t>
        <w:br/>
        <w:t xml:space="preserve">　　以完善知识产权诉讼制度为基础，以加强知识产权法院体系建设为重点，以加强知识产权审判队伍建设为保障，不断提高知识产权审判质量效率，加大知识产权司法保护力度，有效遏制侵犯知识产权行为，进一步提升知识产权领域司法公信力和国际影响力，加快推进知识产权审判体系和审判能力向现代化迈进。</w:t>
        <w:br/>
        <w:t xml:space="preserve">　　二、完善知识产权诉讼制度</w:t>
        <w:br/>
        <w:t xml:space="preserve">　　（一）建立符合知识产权案件特点的诉讼证据规则</w:t>
        <w:br/>
        <w:t xml:space="preserve">　　根据知识产权无形性、时间性和地域性等特点，完善证据保全制度，发挥专家辅助人作用，适当加大人民法院依职权调查取证力度，建立激励当事人积极、主动提供证据的诉讼机制。通过多种方式充分发挥公证在知识产权案件中固定证据的作用。加强知识产权领域的诉讼诚信体系建设，探索建立证据披露、证据妨碍排除等规则，合理分配举证责任，适当减轻权利人举证负担，着力破解知识产权权利人“举证难”问题。</w:t>
        <w:br/>
        <w:t xml:space="preserve">　　（二）建立体现知识产权价值的侵权损害赔偿制度</w:t>
        <w:br/>
        <w:t xml:space="preserve">　　1.坚持知识产权创造价值、权利人理应享有利益回报的价值导向。充分发挥社会组织、中介机构在知识产权价值评估中的作用，建立以尊重知识产权、鼓励创新运用为导向，以实现知识产权市场价值为指引，以补偿为主、惩罚为辅的侵权损害司法认定机制，着力破解知识产权侵权诉讼“赔偿低”问题。</w:t>
        <w:br/>
        <w:t xml:space="preserve">　　2.加大知识产权侵权违法行为惩治力度，降低维权成本。对于具有重复侵权、恶意侵权以及其他严重侵权情节的，依法加大赔偿力度，提高赔偿数额，由败诉方承担维权成本，让侵权者付出沉重代价，有效遏制和威慑侵犯知识产权行为。努力营造不敢侵权、不愿侵权的法律氛围，实现向知识产权严格保护的历史性转变。</w:t>
        <w:br/>
        <w:t xml:space="preserve">　　（三）推进符合知识产权诉讼规律的裁判方式改革</w:t>
        <w:br/>
        <w:t xml:space="preserve">　　进一步发挥知识产权司法保护的主导作用，依法加强对知识产权行政行为的司法审查，促进知识产权行政执法标准与司法裁判标准的统一。加强司法大数据的研究应用，完善知识产权案例指导制度，改进裁判方式，推进知识产权案件繁简分流，切实增强知识产权司法救济的便民性和时效性，着力破解知识产权案件审理“周期长”问题。</w:t>
        <w:br/>
        <w:t xml:space="preserve">　　三、加强知识产权法院体系建设</w:t>
        <w:br/>
        <w:t xml:space="preserve">　　（一）建立健全知识产权专门化审判体系</w:t>
        <w:br/>
        <w:t xml:space="preserve">　　1.按照《国家知识产权战略纲要》要求，从推动建成知识产权强国和世界科技强国的战略高度，认真总结知识产权审判基本规律和经验，加强现状分析和对国际趋势的研判，研究建立国家层面知识产权案件上诉审理机制，实现有关知识产权案件审理专门化、管辖集中化、程序集约化和人员专业化，从根本上解决知识产权裁判尺度不统一、诉讼程序复杂等制约科技创新的体制性难题。</w:t>
        <w:br/>
        <w:t xml:space="preserve">　　2.全面总结北京、上海、广州知识产权法院设立、运行、建设、发展的经验，提出可复制、可推广的意见，依照法定程序实施；进一步健全符合知识产权司法保护规律的专门化审判体系，有效满足科技创新对知识产权专门化审判的司法需求。</w:t>
        <w:br/>
        <w:t xml:space="preserve">　　（二）探索跨地区知识产权案件异地审理机制</w:t>
        <w:br/>
        <w:t xml:space="preserve">　　充分整合京津冀三地法院审判优势资源，探索北京知识产权法院集中管辖京津冀地区技术类知识产权案件，充分发挥知识产权专门化审判在推动京津冀创新驱动发展方面的独特作用，为京津冀形成协调创新共同体、实现经济转型和科学发展提供有力司法支持。</w:t>
        <w:br/>
        <w:t xml:space="preserve">　　（三）完善知识产权法院人财物保障制度</w:t>
        <w:br/>
        <w:t xml:space="preserve">　　1.建立分类管理、定向培养、跟踪考核、适时调整相结合的知识产权法院法官员额动态调整机制。根据案件的受理数量、增长趋势、难易程度等，动态调整法官员额，化解人案矛盾，提升司法效率。</w:t>
        <w:br/>
        <w:t xml:space="preserve">　　2.根据知识产权法院隶属关系和工作实际，完善经费保障机制，明确知识产权法院购买社会服务的依据，促进知识产权法院财务工作规范化。</w:t>
        <w:br/>
        <w:t xml:space="preserve">　　四、加强知识产权审判队伍建设</w:t>
        <w:br/>
        <w:t xml:space="preserve">　　（一）加大知识产权审判人才培养选拔力度</w:t>
        <w:br/>
        <w:t xml:space="preserve">　　1.在保持知识产权审判队伍稳定的前提下，建立知识产权法院之间、知识产权专门审判机构之间、上下级法院之间形式多样的人员交流机制，有计划地选派综合素质高、专业能力强、有培养潜力的知识产权法官到有关党政机关等任职、挂职，可以从立法工作者、律师、法学专家中公开选拔知识产权法官，进一步激发知识产权审判队伍的积极性、主动性和创造性。</w:t>
        <w:br/>
        <w:t xml:space="preserve">　　2.增强培训的针对性和有效性，提高知识产权审判队伍的思想政治素质、职业素养和专业水平，加强对外交流与合作，努力造就一批政治坚定、顾全大局、精通法律、熟悉技术并具有国际视野的知识产权审判人才。</w:t>
        <w:br/>
        <w:t xml:space="preserve">　　（二）加强技术调查官队伍建设</w:t>
        <w:br/>
        <w:t xml:space="preserve">　　探索在编制内按照聘任等方式选任、管理技术调查官，细化选任条件、任职类型、职责范围、管理模式和培养机制，规范技术审查意见的采信机制，充分发挥技术调查官对有效查明技术事实、提高知识产权审判质量效率的积极作用，增强技术事实认定的中立性、客观性和科学性。</w:t>
        <w:br/>
        <w:t xml:space="preserve">　　五、加强组织领导</w:t>
        <w:br/>
        <w:t xml:space="preserve">　　（一）加强组织实施</w:t>
        <w:br/>
        <w:t xml:space="preserve">　　有关地区和部门要高度重视人民法院知识产权审判工作，将其作为推进全面深化改革、全面依法治国和深入贯彻实施创新驱动发展战略、国家知识产权战略的重要内容，切实加强组织领导。要抓紧制定实施细则，明确责任部门，确定时间表、路线图，确保各项工作要求及时有效落实。</w:t>
        <w:br/>
        <w:t xml:space="preserve">　　（二）强化工作保障</w:t>
        <w:br/>
        <w:t xml:space="preserve">　　有关地区和部门要认真贯彻落实党中央关于充分发挥知识产权司法保护主导作用的要求，统筹调配人民法院现有司法资源和相关审判力量，在经费保障、物资装备等方面做好对人民法院知识产权审判工作的保障和支持，大力推进知识产权审判队伍正规化、专业化、职业化、国际化建设。</w:t>
        <w:br/>
        <w:t xml:space="preserve">　　（三）完善相关法律规定</w:t>
        <w:br/>
        <w:t xml:space="preserve">　　积极推进人民法院组织法、专利法、著作权法、有关诉讼法等相关法律的修订工作，研究制定符合知识产权审判规律的特别程序法，加强知识产权案件专门审判组织、诉讼管辖、证据规则、审理程序和裁判方式的法律化、制度化。</w:t>
        <w:br/>
        <w:t xml:space="preserve">　　2月2日下午，天津两会刚结束，天津四大班子首个现场办公会就直奔宝坻京津中关村科技城。一边是中关村发展集团、宝坻区相关负责人，一边是天津市直委办局十几位一把手，“今天就是要面对面、实打实，直奔主题，解决问题。”市委书记李鸿忠的开场白简短有力。</w:t>
        <w:br/>
        <w:t xml:space="preserve">　　企业税收市级留成返还区财政、促进人才落户……三小时会商，八个问题逐一落地。“还有两天才立春，我们已经感到了浓浓‘春消息’！我要告诉中关村的企业，来天津没错。”说到激动处，中关村发展集团总经理宣鸿站了起来。</w:t>
        <w:br/>
        <w:t xml:space="preserve">　　这样的“春消息”还有很多。优化营商环境“津八条”细化，引进人才“租房落户”政策出炉……2月22日，节后上班第一天，又有暖心发现：打今儿起，北京牌照小微型客汽车早晚高峰也可畅行津门。</w:t>
        <w:br/>
        <w:t xml:space="preserve">　　“京津冀协同发展是习近平总书记亲自谋划、亲自推动的重大国家战略，是天津千载难逢的历史性机遇。天津就是要在京津冀协同发展上率先舍得，率先担当。”天津市委、市政府态度坚决。为大局谋，算长远账，精准发力协同发展，天津跑出了加速度。</w:t>
        <w:br/>
        <w:t xml:space="preserve">　　这个加速度来之不易。</w:t>
        <w:br/>
        <w:t xml:space="preserve">　　滨海—中关村科技园定位为京津冀协同创新桥头堡，2014年就签了共建协议，之后两年未见动静。中关村有意，天津却“不接球”，选址悬而未决。2016年9月，天津市委主要负责同志履新，第一站就去滨海新区。两个月后，滨海—中关村科技园在北塘正式揭牌。“天津把最好的地块拿出来了！”科技园管委会副主任续光说，“两年难题两个月破解，秘诀就在舍得二字。”舍就是得。揭牌一年新增注册企业396家，百度创新中心、京东云创空间、深之蓝等优势项目纷纷落户，滨海—中关村科技园成协同创新样板。</w:t>
        <w:br/>
        <w:t xml:space="preserve">　　率先舍得，就必须算好发展大账，主动调整、主动付出。为打赢蓝天保卫战，天津2017年关停整治“散乱污”企业2.1万家，力度空前。七里海、大黄堡、北大港、团泊四大湿地，天津人视为京津冀之肾，虽只七里海一个国家级保护区，其他三块湿地保护标准也照此办理。</w:t>
        <w:br/>
        <w:t xml:space="preserve">　　率先担当，就要坚持问题导向，为大局蹚路子、试制度。设立雄安新区的重大决策去年4月1日公布，4月18日，天津党政代表团就到雄安学习考察签署战略合作协议。回津后梳理出交通一体化、生态环保、产业升级五大方面24个问题，分管市领导、责任部门、完成时限一一明确。“说个最具体的事儿。乙醇汽油推广，按要求京津冀2019年实现全覆盖，全国2020年基本覆盖。天津市委、市政府提出：为什么不能再提前一点？天津早一天用，早一天减排，就能为京津冀积累经验。国家方案刚公布，天津第一时间推出实施细则，把时限提前到2018年8月。”天津市发改委负责人感慨。</w:t>
        <w:br/>
        <w:t xml:space="preserve">　　主动作为，精准发力。2017年以来，服务京津冀协同发展，天津成就了很多前几年没想过、没做成的事——</w:t>
        <w:br/>
        <w:t xml:space="preserve">　　京津城际“月票制”，津冀国际集装箱码头揭牌。京津冀大数据协同处理中心成立，国能新能源汽车启动生产。中欧先进制造产业园产业规划编制完成，海河产业基金挂牌。协同创新18项改革全面实施，中国新一代人工智能发展战略研究院共建协议签约。7项金融创新政策全国推广，“放管服”改革领跑全国。2017年，京冀企业来津投资到位额超过1000亿元，天津企业到河北投资达435亿元。“以中新生态城为例，2017年纳税百万元以上的企业约450家，70%来自北京。”生态城管委会副主任杨志泽介绍。</w:t>
        <w:br/>
        <w:t xml:space="preserve">　　2017年，为支持蓝天保卫战，天津港提前半年一次性取消汽运散煤业务。“短期看损失较大，长远看倒逼天津港加速转型升级。我们在阳泉、兰州、乌兰察布扩大了无水港业务，加快推进北方国际集装箱枢纽港建设。”天津港集团总裁梁永岑坦言。</w:t>
        <w:br/>
        <w:t xml:space="preserve">　　今天的发展，没有一隅之战。切实转变发展观、树立正确政绩观，算全局账、政治账，终能以一时之“舍”，谋长远之“得”。这是京津冀协同发展四年来，给予津门的最好馈赠。</w:t>
        <w:br/>
        <w:t xml:space="preserve">　　新华社北京2月27日电  国务院总理李克强2月27日向第五届中德创新大会致贺信。</w:t>
        <w:br/>
        <w:t xml:space="preserve">　　李克强在贺信中表示，当前新一轮科技革命和产业变革席卷全球，科技创新正深刻改变着人类的生产生活方式。中德科技创新合作开创了大国科技合作的先例，为两国务实合作装上了大功率“引擎”。</w:t>
        <w:br/>
        <w:t xml:space="preserve">　　李克强指出，中国经济发展正处在新旧动能转换和结构升级的关键时期。我们将贯彻落实新发展理念，深入实施创新驱动发展战略，促进大众创业、万众创新上水平，加快建设创新型国家。希望中德双方汇集众智、增进共识，深化科技创新交流合作，推动两国经济社会健康发展，为全球经济注入新动力。</w:t>
        <w:br/>
        <w:t xml:space="preserve">　　中德政府间科技合作协定签订40周年暨第五届中德创新大会27日在京举行。两国科技、企业、政府等各界300余名代表出席。</w:t>
        <w:br/>
        <w:t xml:space="preserve">　　本报北京2月27日电 （记者张烁）国务院副总理、第24届冬季奥林匹克运动会工作领导小组组长张高丽27日会见载誉归来的平昌冬奥会中国体育代表团，向全体运动员、教练员和冬奥组委工作人员转达了党中央、国务院的亲切问候，强调体育战线要认真学习贯彻习近平新时代中国特色社会主义思想和党的十九大精神，牢固树立“四个意识”，坚定“四个自信”，弘扬中华体育精神和奥林匹克精神，实现北京冬奥会办赛精彩参赛出彩。</w:t>
        <w:br/>
        <w:t xml:space="preserve">　　张高丽在听取中国体育代表团汇报后，对大家取得的成绩表示祝贺。张高丽表示，在平昌冬奥会上，我国运动员取得了优良成绩，有的项目还取得了历史性突破，向世界展现了中国冰雪健儿积极进取、奋勇争先的精神风貌，展现了开放包容、文明进步的国家形象。这些成绩的取得，是在以习近平同志为核心的党中央坚强领导下，在全国人民的大力支持下，广大体育战线共同努力、团结奋斗，全体参赛运动员和教练员刻苦训练、辛勤付出的结果。</w:t>
        <w:br/>
        <w:t xml:space="preserve">　　张高丽强调，平昌冬奥会落下帷幕，冬奥会“北京周期”已经开启。习近平总书记通过视频向全世界发出了2022年相约北京的诚挚邀请。北京冬奥会是党和国家的一件大事，是全国人民的一件喜事，是全世界的一件盛事。要认真学习贯彻习近平总书记重要讲话和指示批示精神，全面落实“绿色办奥、共享办奥、开放办奥、廉洁办奥”理念，把北京冬奥会办成一届精彩、非凡、卓越的奥运盛会。</w:t>
        <w:br/>
        <w:t xml:space="preserve">　　张高丽表示，实现习近平总书记提出的“办赛精彩，参赛也要出彩”目标，要靠广大运动员、教练员去拼搏、去奋斗、去奉献。希望大家把在北京冬奥会上取得优异成绩作为重要政治任务完成好，不辜负总书记的关心和祖国人民的期待。要提高竞技水平，弘扬中华体育精神和奥林匹克精神，在北京冬奥会上展现出最佳竞技状态和水平，为实现体育强国梦贡献青春和力量。要抓住北京冬奥会难得机遇，推广普及冰雪运动，开创全民健身新局面。</w:t>
        <w:br/>
        <w:t xml:space="preserve">　　刘延东、蔡奇出席接见活动。</w:t>
        <w:br/>
        <w:t xml:space="preserve">　　随着全国两会脚步的临近，设在北京西长安街北侧梅地亚中心的两会新闻中心27日正式“开张”。据悉，今年全国两会将首次开启“代表通道”和“委员通道”，并继续办好“部长通道”。目前已有3000多名中外记者报名采访全国两会，其中境内记者2000人左右，港澳台记者和外国记者1000多人。图为全国两会新闻中心通信网络服务室。 </w:t>
        <w:br/>
        <w:t xml:space="preserve">　　新华社记者 李 鑫摄 </w:t>
        <w:br/>
        <w:t xml:space="preserve">　　“中国特色社会主义最本质的特征是中国共产党领导”，是习近平新时代中国特色社会主义思想的一个重要论断。《中共中央关于修改宪法部分内容的建议》提出将其充实进宪法总纲第一条第二款，这是深入贯彻党的十九大精神和习近平新时代中国特色社会主义思想、推进宪法完善发展的重要举措。作这样的充实，有着充分的理论依据、实践依据、制度依据。</w:t>
        <w:br/>
        <w:t xml:space="preserve">　　一、把“中国共产党领导是中国特色社会主义最本质的特征”载入宪法的理论依据</w:t>
        <w:br/>
        <w:t xml:space="preserve">　　宪法作为国家的根本法，承担着对国家根本制度和根本任务、领导核心和指导思想、发展道路和奋斗目标等事关全国人民根本利益的重大全局性问题作出规定的主要任务。在当今中国，党政军民学，东西南北中，党是领导一切的，是最高政治领导力量。确定党在国家中的领导地位是我国宪法的题中应有之义。现行宪法已在序言中确定了党的领导地位，在总纲条文中规定社会主义制度是国家的根本制度。这次修改宪法，中央建议把“中国共产党领导是中国特色社会主义最本质的特征”充实进宪法关于国家根本制度的条文，把党的领导与社会主义制度内在统一起来，是对马克思主义政党建设理论的运用和发展，是对共产党执政规律和社会主义建设规律认识的深化。</w:t>
        <w:br/>
        <w:t xml:space="preserve">　　马克思、恩格斯将坚持工人阶级政党的领导作为科学社会主义一条根本原则，这条原则是总结巴黎公社失败教训得出的真理性认识。巴黎公社作为社会主义早期实验仅存在2个多月，根本原因就是缺乏一个以马克思主义理论武装起来的革命政党的领导。社会主义国家是人民当家作主的国家，必须由自身没有任何私利、代表人民利益的政党来领导，才能保证国家社会主义制度性质不被改变，人民才能真正成为国家主人。中国共产党就是这样一个始终代表着最广大人民根本利益、为建设社会主义现代化强国而不懈奋斗的先进政党，始终把党的领导与中国人民的前途命运、与社会主义的前途命运紧密相连的先进政党。正因如此，我们党决不容许出现任何动摇党的领导地位的现象。1957年，针对国内出现的否定党的领导动向，毛泽东同志深刻指出，“中国共产党是全中国人民的领导核心，没有这样一个核心，社会主义事业就不可能胜利。”改革开放之初，邓小平同志也指出，“中国由共产党领导，中国的社会主义现代化建设事业由共产党领导，这个原则是不能动摇的；动摇了中国就要倒退到分裂和混乱，就不可能实现现代化。”</w:t>
        <w:br/>
        <w:t xml:space="preserve">　　苏联的问题就是出在这上面。这个世界上第一个社会主义国家，之所以陷入亡党亡国的悲惨境地，一个直接原因是当时的苏共领导人接受西方所谓“宪政”思想，推动修改宪法第六条，取消苏共领导地位，使国家和政权快速崩溃，苏联社会主义制度也随之烟消云散。这个悲剧警示我们：违背科学社会主义基本原则动摇党的领导地位，就会犯颠覆性错误。党的领导只能加强，不能削弱。无论宪法怎么修改，都不能把党的领导地位改没了。</w:t>
        <w:br/>
        <w:t xml:space="preserve">　　习近平总书记关于“中国特色社会主义最本质的特征是中国共产党领导”的重要论断，深刻揭示了中国共产党领导与中国特色社会主义之间内在的统一性，是科学社会主义基本原则与中国特色社会主义实际相结合形成的理论创新成果。把这一理论创新成果充实进宪法规定的国家根本制度之中，对于我们更加理性地认识和把握党的领导的重大意义，具有重要而深远的指导作用。</w:t>
        <w:br/>
        <w:t xml:space="preserve">　　二、把“中国共产党领导是中国特色社会主义最本质的特征”载入宪法的实践依据</w:t>
        <w:br/>
        <w:t xml:space="preserve">　　我国宪法是同党团结带领人民进行的实践探索紧密联系在一起的，随着时代进步、党和人民事业发展而不断完善。中华人民共和国成立以来，先后制定、颁布了4部宪法，每部宪法都在序言中回顾总结了党领导人民进行革命、建设的奋斗历程和根本成就。从中可以得出一条基本结论：党的领导地位不是自封的，更不是强加的，而是历史的选择、人民的选择。4部宪法正是根据这一历史逻辑，在序言中确认了党领导人民进行革命、建设的伟大斗争和根本成就，同时也确定了党在国家中的领导地位。</w:t>
        <w:br/>
        <w:t xml:space="preserve">　　现行宪法是1982年公布施行的。那个时候，我们国家刚刚开启改革开放这场新的伟大革命。经过艰辛的实践探索，党领导人民成功开辟了中国特色社会主义道路，极大激发了广大人民群众的创造性，极大解放和发展了社会生产力，极大增强了社会发展活力，短短30多年时间就取得了令世人惊叹的发展奇迹。党的十八大以来，我们党领导人民高举中国特色社会主义伟大旗帜，统揽伟大斗争、伟大工程、伟大事业、伟大梦想，统筹推进“五位一体”总体布局，协调推进“四个全面”战略布局，推动党和国家事业取得历史性成就、发生历史性变革，推进中国特色社会主义进入了新时代，中华民族迎来了从站起来、富起来到强起来的伟大飞跃。实践是检验真理的唯一标准。改革开放伟大实践告诉我们：党的领导是国家的根本所在、命脉所在，是全体人民的利益所系、幸福所系。没有党的领导，就没有社会主义在中国的实践，就没有中国特色社会主义的开创和发展。习近平总书记关于“中国共产党领导是中国特色社会主义最本质的特征”的重要论断，是党领导人民进行革命和建设的历史逻辑与党领导人民进行改革开放的实践逻辑相贯通得出来的全新认识。</w:t>
        <w:br/>
        <w:t xml:space="preserve">　　改革开放伟大实践也深刻地启示着未来：没有党的领导，就不可能夺取新时代中国特色社会主义伟大胜利，民族复兴必然会沦为空想。中国人民已踏上中国特色社会主义新征程，实现“两个一百年”奋斗目标、实现中华民族伟大复兴的中国梦，不知还要爬多少坡、过多少坎、经历多少风风雨雨、克服多少艰难险阻。要实现宏伟目标，战胜前进道路上的风险挑战，从根本上讲还是要靠党的领导、靠党把好方向盘。适应新时代党和国家发展新要求，把“中国共产党领导是中国特色社会主义最本质的特征”写入宪法，从社会主义本质属性的高度确定党在国家中的领导地位，有利于把党的领导贯彻落实到国家政治生活和社会生活的各个领域，实现全党全国人民思想上、政治上、行动上一致，确保中国特色社会主义事业始终沿着正确轨道向前推进。</w:t>
        <w:br/>
        <w:t xml:space="preserve">　　三、把“中国共产党领导是中国特色社会主义最本质的特征”载入宪法的制度依据</w:t>
        <w:br/>
        <w:t xml:space="preserve">　　从坚持和完善中国特色社会主义制度的历史进程来看，我国改革的过程是实现社会主义制度自我完善、不断推进国家治理体系和治理能力现代化的过程，也是把实践中已见成效的体制机制和做法及时上升为党和国家制度的过程。当前，党总揽全局、协调各方的领导核心地位在国家运行机制和各项制度中得到了充分体现。比如，坚持党对国家政权机关的领导，坚持党对多党合作和政治协商制度的领导，坚持党对统一战线的领导，坚持党对经济、政治、文化、社会、生态文明建设的领导，坚持党对人民军队的绝对领导，坚持党对外交工作的领导，等等，已经形成一套坚持党的领导的制度规范和工作机制，并转化为国家治理有序、事业发展高效、社会和谐稳定的制度优势，使中国特色社会主义制度显示出了无可比拟的优越性。宪法有必要将坚持党的领导从具体制度层面上升到国家根本制度层面，使之具有更强的制度约束力和更高的法律效力，推动党的领导通过社会主义制度的执行有效落实到国家治理的各个领域、各个环节、各个方面。</w:t>
        <w:br/>
        <w:t xml:space="preserve">　　从我国法治的发展进程来看，坚持党的领导、人民当家作主、依法治国有机统一，是贯穿始终的一条指导方针。党领导人民制定宪法和法律，党领导人民执行宪法和法律，党领导人民捍卫宪法和法律尊严，同时，宪法也要为坚持党的领导提供有力法律保障。在宪法序言确定党的领导地位的基础上，进一步在宪法总纲规定的国家根本制度中充实“中国共产党领导是中国特色社会主义最本质的特征”的内容，使宪法“禁止任何组织或者个人破坏社会主义制度”的规定内在地包含“禁止破坏党的领导”的内涵。这样，就能够进一步强化党的领导地位的法律权威，有利于增强全国各族人民、一切国家机关和武装力量、各政党和各社会团体、各企业事业组织坚持党的领导、维护党的领导的自觉性，有利于对反对、攻击和颠覆党的领导的行为形成强大震慑，并为惩处这些行为提供明确的宪法依据。</w:t>
        <w:br/>
        <w:t xml:space="preserve">　　本报北京2月27日电  （记者王君平）记者27日从人力资源和社会保障部获悉：国家异地就医结算系统运行顺畅，截至今年1月，累计结算超过18万人次，基金支付28.54亿元。我国全面建成联通部、省、市、县四级的国家异地就医结算系统，重点解决异地安置退休人员、长期异地居住人员、长期异地工作人员以及符合异地就医转诊条件的人员等四类群体的异地住院费用直接结算问题，目前已基本实现全国所有省份、所有统筹地区、主要医疗机构全覆盖，主要信息秒级传输，社会保障卡作为唯一结算载体和凭证实现跨省通用，联网结算技术标准和业务规范实现全国统一。</w:t>
        <w:br/>
        <w:t xml:space="preserve">　　我国全民医保体系进一步巩固，参保人数超过13亿，参保率稳定在95%以上，职工医保和城乡居民医保政策范围内住院医疗费用报销比例分别达到80%以上和70%左右，构筑了世界上最大的健康保障工程，为全面建成小康社会奠定了扎实的基础，群众获得感不断增强。目前，我国社会保障卡持卡人数达10.88亿。</w:t>
        <w:br/>
        <w:t xml:space="preserve">　　按照“待遇就高不就低，范围就宽不就窄”的原则，我国推进城镇居民基本医保和新农合整合，建立统一的城乡居民基本医保制度，初步实现了“六个统一”（统一覆盖范围、统一筹资政策、统一保障待遇、统一医保目录、统一定点管理、统一基金管理）。截至2017年底，各省普遍启动整合工作，80%以上地市已实施统一的城乡居民医保制度。城乡医保整合制度打破了城乡“二元”结构，扩大了城乡居民就医选择范围，促进了城乡公平，提升了公共服务质量。</w:t>
        <w:br/>
        <w:t xml:space="preserve">　　在2012年城乡居民大病保险试点基础上，2015年全面实施城乡居民大病保险制度。目前，我国城乡居民大病保险已实现100%地区实施、100%参保人群覆盖、100%待遇支付兑现、90%左右的统筹地区大病保险业务由商保承办，大病患者住院医疗费用支付比例平均提高12个百分点。按照中央打赢脱贫攻坚战的要求，完善大病保险制度，对困难群体采取降低起付线、提高报销比例和封顶线等倾斜政策，有效减轻建档立卡贫困人员的个人负担。同时，普遍建立职工补充医疗保险，较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