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行为规范作出了明确规定：演员、导演等电影从业人员应当坚持德艺双馨，遵守法律法规，尊重社会公德，恪守职业道德，加强自律，树立良好社会形象。“德艺双馨”四个字首次被写入法律，这意味着，作为公众人物，电影行业从业者的道德脱轨就意味着对法律的触犯。与此同时，法律还对从业人员行为划定了合法开展活动的范围和界限，指导从业人员依法依规开展业务活动，并对违法行为规定了相应的法律责任，如罚款、吊销许可证、一定期限从业禁止等。</w:t>
        <w:br/>
        <w:t xml:space="preserve">　　“‘德艺双馨’中的‘德’，就是符合社会主义核心价值观的社会公德、职业道德和家庭美德；‘德艺双馨’中的‘艺’，就是艺术才华的高低，有行业共识，有群众口碑。”国家新闻出版广电总局电影局负责人说，《电影产业促进法》鼓励电影创作者既要具备良好的品德，也要体现不断精进的艺术才能。知名的电影从业者作为公众人物，更应该严格要求，做好表率。</w:t>
        <w:br/>
        <w:t xml:space="preserve">　　2017年11月27日，由国家新闻出版广电总局电影局主办的第三届中国电影新力量论坛在杭州举行，这也是党的十九大召开后举行的一场青年电影创作人员专题学习座谈会。一间可容纳百人的会议室里，中国新一代的电影导演、编剧和演员济济一堂：导演韩延、大鹏……编剧张嘉佳、袁媛、张力、田羽生……演员周冬雨、刘昊然、杨颖、鹿晗……他们背后的作品是《战狼Ⅱ》《七月与安生》《建军大业》《滚蛋吧！肿瘤君》……围绕“如何创作‘讲品位、讲格调、讲责任’的精品力作”“如何强化现实题材电影创作”等中国电影在新时代亟待破解的话题，青年电影人畅所欲言。“青年兴则国家兴，青年强则国家强。”人们感叹，这些中国电影的年轻力量，也代表着中国社会的蓬勃之气。</w:t>
        <w:br/>
        <w:t xml:space="preserve">　　《电影产业促进法》实施一周年，一切已经不同，一切刚刚上路。</w:t>
        <w:br/>
        <w:t xml:space="preserve">　　本报北京2月27日电  （记者冯华）今年是中德政府间科技合作协定签订40周年。2月27至28日，科技部与德国联邦教研部共同在北京举办第五届中德创新大会。国务院总理李克强向大会致贺信，科技部部长万钢在大会上宣读贺信，并与德联邦教研部国务秘书许特分别作主旨演讲。两国科技、企业、政府等各界300余名代表出席大会。</w:t>
        <w:br/>
        <w:t xml:space="preserve">　　科技部部长万钢表示，中德政府间科技合作协定是两国建交后最早签订的政府间合作协定之一。科技创新合作是创建和扩大中德两国关系的先驱。40年来，双方形成了较为完整的政府间科技创新合作框架，中德科技人员往来密切，科研合作平台广、机制活，产业关联日趋紧密，区域合作热情高涨。</w:t>
        <w:br/>
        <w:t xml:space="preserve">　　许特国务秘书表示，德国政府非常重视与中国的科技创新合作，希望未来加大在气候变化、环境保护、人口老龄化、生命科学、物联网、轻量化制造和未来城市等方面的合作。</w:t>
        <w:br/>
        <w:t xml:space="preserve">　　来自双方政产学研各界的代表在会上回顾了中德科技创新合作40年历程，共同展望和挖掘未来合作的前景和机遇。</w:t>
        <w:br/>
        <w:t xml:space="preserve">　　本报北京2月27日电  （记者张烁）日前，教育部、国务院扶贫办印发《深度贫困地区教育脱贫攻坚实施方案（2018—2020年）》（以下简称《方案》），将聚焦深度贫困地区教育扶贫，用3年时间打好深度贫困地区教育脱贫攻坚战。</w:t>
        <w:br/>
        <w:t xml:space="preserve">　　据悉，集中连片特困地区、革命老区、民族地区、边疆地区深度贫困问题突出，攻坚任务依然十分艰巨。西藏、四省藏区、南疆四地州和四川凉山彝族自治州、云南怒江傈僳族自治州、甘肃临夏回族自治州（以下简称“三区三州”），以及贫困发生率超过18%的贫困县和贫困发生率超过20%的贫困村，自然条件差、经济基础弱、贫困程度深，补齐这些短板是脱贫攻坚决战决胜的关键。</w:t>
        <w:br/>
        <w:t xml:space="preserve">　　根据《方案》，力争到2020年，“三区三州”等深度贫困地区教育总体发展水平显著提升，实现建档立卡贫困人口教育基本公共服务全覆盖。保障各教育阶段建档立卡学生从入学到毕业的全程全部资助，保障贫困家庭孩子都可以上学，不让一个学生因家庭经济困难而失学。更多建档立卡贫困学生接受更好更高层次教育，都有机会通过职业教育、高等教育或职业培训实现家庭脱贫，教育服务区域经济社会发展和脱贫攻坚的能力显著增强。</w:t>
        <w:br/>
        <w:t xml:space="preserve">　　本报北京2月27日电  （记者张烁）日前，教育部、国家体育总局会同北京冬奥组委共同制订《北京2022年冬奥会和冬残奥会中小学生奥林匹克教育计划》，要求全国中小学将奥林匹克教育纳入学校教育教学内容，通过综合实践活动课程、体育课程等方式，开展奥林匹克主题教育。同时，到2020年，全国中小学校园冰雪运动特色学校达到2000所，2025年达到5000所。</w:t>
        <w:br/>
        <w:t xml:space="preserve">　　为配合学校实施冬季奥林匹克教育，教育部、国家体育总局、北京冬奥组委将组织编辑和出版《北京2022中小学生冰雪运动项目教学指南》、中小学生的《冬季奥林匹克知识读本》、冬季体育运动知识挂图、北京2022年冬奥会和冬残奥会比赛项目介绍手册以及配套光盘等。</w:t>
        <w:br/>
        <w:t xml:space="preserve">　　本报上海2月27日电  （记者曹玲娟）2018“世界最美的书”评选近日在德国莱比锡揭晓。由上海市新闻出版局、“中国最美的书”评委会选送的两部作品《园冶注释》和《茶典》分别荣获“世界最美的书”银奖和荣誉奖。这也是“中国最美的书”选送作品继2016年和2017年之后，连续第三年有两部作品荣膺“世界最美的书”奖项。“中国最美的书”自2003年创办至今，已有19部作品获得“世界最美的书”奖项，其中2部作品荣获金奖。</w:t>
        <w:br/>
        <w:t xml:space="preserve">　　今年获得“世界最美的书”奖项的两部中国作品均是“古书新作”。其中，《园冶注释》（张悟静设计，中国建筑工业出版社出版），是我国著名林学家、造园学家陈植为明代造园学家计成所著《园冶》做的注释。《园冶》于1634年写成，为中国最早、最系统的造园著作，同时也被誉为世界造园学最早的名著。</w:t>
        <w:br/>
        <w:t xml:space="preserve">　　2017“中国最美的书”评委会就《园冶注释》给出如下评语：本书是明代计成所著，是一本现代版本的古书，却洋溢着古风古韵。排版遵照传统，版面布局节奏则富于变化，给现代读者带来丰富的阅读体验。卷首页颇为内敛，内文隔断选用的纸张手感富于变化。全书采用单色印刷，图文搭配和谐，气质恰到好处。细节处理非常到位。</w:t>
        <w:br/>
        <w:t xml:space="preserve">　　《茶典》（潘焰荣设计，商务印书馆出版）则以钦定《四库全书》中的八部茶学著作为蓝本，精选中国历代“茶”主题珍品书画九件作为插页，全面讲述刻画中国的茶文化。两位获奖设计师运用现代设计语言，恰到好处地将园林和茶这两种中国文化的典型元素呈现在世界面前。</w:t>
        <w:br/>
        <w:t xml:space="preserve">　　关于《茶典》，2017“中国最美的书”评委会的评语如下：本书的内容选用钦定《四库全书》茶书八种，采用现代设计语言阐释古老的茶典。体例间隔纸张选用宣纸，很朴素；隔页配图，与内容相匹配；封面材料、色彩选用都很到位。</w:t>
        <w:br/>
        <w:t xml:space="preserve">　　“世界最美的书”组委会德国图书艺术基金会今年共收到来自全球33个国家和地区的参评作品600余件。国际评委团经过3天的精挑细选，最终推选出14部作品荣膺2018“世界最美的书”称号。由德国图书艺术基金会主办的“世界最美的书”评选已有近百年历史，代表了当今世界书籍艺术设计的最高荣誉，评委会由来自德国、英国、瑞士、荷兰、罗马尼亚等国的著名书籍艺术家、学者组成。</w:t>
        <w:br/>
        <w:t xml:space="preserve">　　本报合肥2月27日电  （记者孙振）记者近日从中科大获悉：该校杜江峰院士领导的中科院微观磁共振重点实验室提出并实现了用于搜寻类轴子的单电子自旋量子传感器，将搜寻的力程拓展到亚微米尺度，可更好地寻找标准模型外的新粒子。该成果发表在著名期刊《自然·通讯》上。</w:t>
        <w:br/>
        <w:t xml:space="preserve">　　在寻找新粒子诸多解决方案中，一类简单有效的理论假设是引入一类超轻质量的轴子或类轴子粒子，人们猜测这类新粒子或许在电子与核子的相互作用中扮演着新的传递媒介。近年来，科学家发展了一系列精巧的实验装置，在20微米以上的力程范围内开展了电子与核子相互作用的搜寻。然而，在更短的力程范围内开展实验研究，面临尺寸不够小、灵敏度待提升等一系列挑战。</w:t>
        <w:br/>
        <w:t xml:space="preserve">　　杜江峰团队将金刚石近表面氮—空位（NV）色心的电子自旋用作传感器，来搜寻小于20微米范围的电子与核子相互作用。团队制备了离金刚石表面10纳米以内的NV色心作为探测器，开发了相应的电子学设备和量子控制方法，一举解决了上述制约短力程探索的系列难题。实验表明，新传感器可以探索的力程范围是0.1微米到23微米。这一新方法为利用单自旋量子传感器来研究超出标准模型的新物理提供了可能性，有望推动宇宙学、天体物理和高能物理等多个基础科学的发展。</w:t>
        <w:br/>
        <w:t xml:space="preserve">　　本报北京2月27日电  （记者贺勇）27日，由北京市人民政府、西藏自治区人民政府主办的《天路文华——西藏历史文化展》在北京首都博物馆开幕，来自西藏地区文博机构和寺庙提供的文物180余件（组）与观众见面，其中三级品以上国家珍贵文物占90.8%，大昭寺、扎什伦布寺、萨迦寺等13家寺庙提供的文物均为首次亮相。此外，北京、河北、重庆、青海四省市文物收藏单位也推出了一批珍贵展品。</w:t>
        <w:br/>
        <w:t xml:space="preserve">　　首都博物馆相关负责人介绍，展览将从文明溯源、高原天路、雪域佛韵、和同一家等四方面展示西藏的历史与文化，西藏与周边地区及内地的文化交往，进而形成文化认同与国家认同的历史面貌。</w:t>
        <w:br/>
        <w:t xml:space="preserve">　　本报北京2月27日电  （记者白剑峰）国家卫计委今天召开例行发布会，邀请部分全国人大代表、政协委员谈推动健康中国建设的进展和成效，主题为“代表委员谈健康中国建设”。</w:t>
        <w:br/>
        <w:t xml:space="preserve">　　第十三届全国政协委员、中国疾病预防控制中心全球公共卫生中心主任、传染病预防控制国家重点实验室副主任董小平指出，我国传染病防控的综合实力明显提升。艾滋病、乙肝、结核、血吸虫病等重大传染病的发病和死亡都控制在比较理想的范围内，多种新发和输入传染病得到了及时有效的控制。我国公共卫生整建制组队援外规模初显。2014年西非三国暴发了埃博拉疫情，我国以中国疾病预防控制中心和解放军军事医学科学院为核心，组成了多批次的实验室检测、流行病学培训队伍奔赴疫区，为埃博拉的疫情控制和消除做出了重要贡献。我国是进入疫区最早的国家，仍然持续派遣专家工作在塞拉利昂，目前有11人。2016年，中国疾控中心成立了全球公共卫生中心。我国的卫生援外从过去单一的建设项目转变为应急救援和日常工作相结合。</w:t>
        <w:br/>
        <w:t xml:space="preserve">　　针对今年3月份可能会有新一波流感来袭的说法，董小平指出，今年流感仍然处于一个正常的趋势。流感病毒是容易变异，但是变异有两种类型：一种类型是存在一些氨基酸的改变，导致蛋白结构发生变化，抗原性发生变化；另一种是由于优势毒株都被打压了，不优势的毒株发展成一个新的优势毒株。今年的流感趋势就是优势毒株发生了小的变化。3月份往往会有一个小高峰，主要原因是季节“倒春寒”加上人口大量流动。但是，有一个规律不会突破，即第二个高峰不会比第一个高峰高。有人担心季节性流感与人感染高致病性禽流感发生重叠，这是不可能的。人感染高致病性禽流感数量不会跟季节性流感一样多，现在没有任何这种迹象。疫情肯定还会存在，但不可能发展成为流感大流行。</w:t>
        <w:br/>
        <w:t xml:space="preserve">　　第十三届全国人大代表、北京大学首钢医院院长顾晋提出，构建三下沉为基础、信息化为桥梁的紧密型医联体模式，将医改分级就诊落到实处。一是专家下沉；二是学科下沉；三是信息有联系；四是医保要引导；五是人才能共享，让社区的医生有上级医院、三级医院的编制和身份，保证社区医生和服务质量的稳定。</w:t>
        <w:br/>
        <w:t xml:space="preserve">　　第十三届全国政协委员、中国工程院院士王辰指出，烟草依赖是一种慢性病，有专属的国际疾病分类编码。戒烟需要社会、政府、公众共同努力，医学界要用专业化的戒烟方法，帮助公众戒烟。开展专业化的戒烟干预，是提高戒烟成功率很重要的方面。国际经验表明，开展控烟要培训专业化的医生，而且普遍设立戒烟门诊。领导干部带头示范作用至关重要，教师和医生也是带动全社会戒烟的重要力量，希望全社会积极行动起来。</w:t>
        <w:br/>
        <w:t xml:space="preserve">　　第十三届全国政协委员、北京市丰台区方庄社区卫生服务中心主任吴浩指出，建立连续的固定签约服务模式，构建和谐医患关系。方庄社区卫生服务中心使用信息技术电子化签约，通过定向分诊、预约就诊，使医患之间形成连续固定的服务关系。同时，充分利用智能化诊断技术，促进合理诊断和合理检查，用药指导和健康指导，运用人工智能技术，将临床诊疗路径嵌入医生工作站系统中，根据症状的描述提供疾病的诊断、检查、合理用药等建议。另外，社区中心还针对行动困难的重点人群，协同相关部门、社会机构开展居家医疗的照护服务。</w:t>
        <w:br/>
        <w:t xml:space="preserve">　　近日，广州市妇女儿童医疗中心基于深度学习开发出一个能诊断眼病和肺炎两大类疾病的人工智能系统，这项研究成果以封面文章登上了2月23日的世界顶级期刊《细胞》。</w:t>
        <w:br/>
        <w:t xml:space="preserve">　　这项人工智能成果能够根据影像资料，给医生提出诊断建议，并解释判断的依据。比对实验发现，该系统在诊断眼疾时的准确率达96.6%；在区分肺炎和健康状态时准确率达92.8%，这种水平足以与有十几年经验的专家医生相媲美。</w:t>
        <w:br/>
        <w:t xml:space="preserve">　　本领有多大</w:t>
        <w:br/>
        <w:t xml:space="preserve">　　精准用药，秒级判定</w:t>
        <w:br/>
        <w:t xml:space="preserve">　　肺炎是全世界儿童因感染导致死亡的首要原因。从一张胸部CT上找到肺结节，一名经过训练的医生平均需要3—5分钟，而依靠人工智能则仅需要3—5秒。</w:t>
        <w:br/>
        <w:t xml:space="preserve">　　这就是由张康教授领衔的广州市妇女儿童医疗中心和加州大学圣地亚哥分校课题组研发的人工智能平台。</w:t>
        <w:br/>
        <w:t xml:space="preserve">　　不光是快，更重要的是准。决定肺炎预后的关键因素是能否根据肺炎的病原学类型精准用药。传统的基于血培养、痰培养、生化检测等方法，很难快速准确判断。而人工智能平台则可以基于儿童胸部X线片实现儿童肺炎病原学类型的秒级准确判定。</w:t>
        <w:br/>
        <w:t xml:space="preserve">　　这就实现了用人工智能精确指导抗生素的合理使用，而且该平台可以不受医院级别和区域的限制，实现社区医疗、家庭医生、专科医院的广覆盖，为肺炎这一抗菌素滥用重灾区提供精准用药方案，避免抗菌素滥用，促进儿童重症肺炎康复。</w:t>
        <w:br/>
        <w:t xml:space="preserve">　　人工智能平台具有重要的临床意义，人们期待效率更高、精准度好的人工智能成为医生的好帮手。在诊前疾病的筛查、预防，就诊时医疗图像辅助诊断、检验结果分析、手术辅助以及就诊后的医疗随访、慢性病监测、康复协助、健康管理等方面，人工智能都将有所作为。甚至会为基础科研辅助、药物研发、基因筛选分析、医疗培训等带来改变。</w:t>
        <w:br/>
        <w:t xml:space="preserve">　　“现在我们的人工智能平台可以不受人员不受区域的限制，在世界任何地方让更多的患者早发现、早诊断、早治疗。”2016年加入广州市妇女儿童医疗中心基因检测中心的加州大学圣地亚哥分校Shiley眼科研究所教授张康说。</w:t>
        <w:br/>
        <w:t xml:space="preserve">　　值得信任吗</w:t>
        <w:br/>
        <w:t xml:space="preserve">　　准确度高，过程可见</w:t>
        <w:br/>
        <w:t xml:space="preserve">　　有人说，人工智能看病靠谱吗？把身家性命交给机器人，放心吗？</w:t>
        <w:br/>
        <w:t xml:space="preserve">　　研究团队从黄斑变性和糖尿病视网膜黄斑水肿这两种疾病切入，让这一人工智能系统不停地学习眼部光学相干断层扫描图像。在学习了超过20万病例的图像数据后，该平台诊断黄斑变性、黄斑水肿的准确性达到96.6%，灵敏性达到97.8%。与5名眼科医生诊断结果相比，确认平台可以达到训练有素的眼科医生的水平，并在30秒内决定病人是否应该接受治疗。</w:t>
        <w:br/>
        <w:t xml:space="preserve">　　记者了解到，这套人工智能系统具有深度学习能力。人们所熟知的AlphaGo、自动驾驶等应用，都是基于深度学习技术开发的。</w:t>
        <w:br/>
        <w:t xml:space="preserve">　　在此项研发过程中，课题组应用了基于迁移学习模型的新算法，既大幅提升了人工智能的学习效率，又有利于实现“一个系统解决多种疾病”的目标。</w:t>
        <w:br/>
        <w:t xml:space="preserve">　　“传统的深度学习模型一般需要上百万的高质量同类型的标注数据才能获得较为稳定和精确的输出结果，但现实中给每种疾病都收集上百万张高质量的标注图像几乎是不可能实现的，使得人工智能在医学影像学领域的病种广覆盖很难实现。”张康介绍。所以，目前已有的医疗人工智能一般一个系统只能针对一种疾病。</w:t>
        <w:br/>
        <w:t xml:space="preserve">　　相对而言，这项基于迁移学习模型的人工智能平台所需的数据量极少，研究者只需要几千张就可以很好地完成一次跨病种迁移。</w:t>
        <w:br/>
        <w:t xml:space="preserve">　　例如，在本研究中，课题组在20万张眼部图像数据训练出来的人工智能系统基础上，只用了5000张胸部X线图像，就通过迁移学习构建出肺炎的人工智能图像诊断系统，实现了儿童肺炎病原学类型的差异性分析和秒级判定。经检测，它在区分肺炎和健康状态时，准确性达到92.8%，灵敏性达到93.2%；在区分细菌性肺炎和病毒性肺炎上，准确性达到90.7%，灵敏性达到88.6%。</w:t>
        <w:br/>
        <w:t xml:space="preserve">　　此外，以往单纯依靠深度学习技术的研究和产品，给出的报告中只有结果，而没有列出判断的理由与过程，这种“黑箱子”式的诊断，即便精准度很高，医生也不敢妄加使用。而这一人工智能平台一定程度上克服了这种局限性，让人“知其然，还知其所以然”。</w:t>
        <w:br/>
        <w:t xml:space="preserve">　　课题组使用了遮挡测试的思维，通过反复学习、实践和改进，平台可以显示它从图像的哪个区域得出诊断结果，在一定程度上给出了判断理由，从而使其本身更有可信度。</w:t>
        <w:br/>
        <w:t xml:space="preserve">　　前景有几何</w:t>
        <w:br/>
        <w:t xml:space="preserve">　　系统评估，辅助决策</w:t>
        <w:br/>
        <w:t xml:space="preserve">　　人工智能诊断起疾病来如此高效，机器人医生离我们的生活还有多远？</w:t>
        <w:br/>
        <w:t xml:space="preserve">　　张康说，目前他们的人工智能系统已经在美国和拉丁美洲眼科诊所进行小规模临床试用。此外，在后续的研究中，他们还会进一步增加数据学习模本的数量，同时增加可诊断的疾病种类，并进一步优化系统等。</w:t>
        <w:br/>
        <w:t xml:space="preserve">　　早在2015年，广州市妇女儿童医疗中心基于医疗大数据，融合人工智能前沿技术，启动了“咪姆熊”智能家族研发项目。</w:t>
        <w:br/>
        <w:t xml:space="preserve">　　“这个家族成员有四头熊，发热熊、影像熊、导诊熊、营养熊。”该院临床数据中心主任梁会营介绍，“发热熊”以儿童常见的发热相关疾病为研究内容，基于权威指南、专家共识、200余万份的海量病历等知识型文本，融合多源异构数据整合技术、自然语言处理技术和机器学习算法，经过一年的训练，已经能够成功针对24种儿童常见发热相关疾病开展准确的辅助诊断，通过无缝嵌入电子病历系统成为门诊医生的贴心助手。</w:t>
        <w:br/>
        <w:t xml:space="preserve">　　而影像熊基于“胸部X线片+微生物培养检测大数据”，采用深度学习算法，可智能识别肺炎的微生物感染状况（细菌性、病毒性、混合感染性），为抗菌素的精准应用提供决策支持，目前已实际应用到医生的辅助诊断。其实践中形成的数据和技术，成为人工智能系统科研成果的重要基础和组成部分。</w:t>
        <w:br/>
        <w:t xml:space="preserve">　　另外两头“熊”也在茁壮成长中，不久的将来可望和公众见面。</w:t>
        <w:br/>
        <w:t xml:space="preserve">　　此次发表在《细胞》杂志上的医学人工智能研究成果，被广州市妇女儿童医疗中心当做一个新的起点。中心主任、院长夏慧敏表示，“人工智能平台的终极目标，是整合文本型病历数据、全结构化实验室检查数据、图像数据、光电信号等多媒介数据，模拟临床医生对患者病情进行系统评估，为医务人员提供综合的辅助决策。而不仅仅是为影像科医生或某一医技科人员提供单一方面的辅助决策。”</w:t>
        <w:br/>
        <w:t xml:space="preserve">　　“因此，该平台还在不断强化当中。”夏慧敏举例说，例如在儿童肺炎病原学类型智能判别领域，团队正在系统阅读X线片的基础上，增加了实验室检查和临床症状的学习，从而更精确判断出儿童肺炎的病原菌类型。</w:t>
        <w:br/>
        <w:t xml:space="preserve">　　“希望在不久的将来，这项技术能应用到初级保健、社区医疗、家庭医生、专科医院等等，形成大范围的自动化分诊系统。”夏慧敏说。</w:t>
        <w:br/>
        <w:t xml:space="preserve">　　　　　 </w:t>
        <w:br/>
        <w:t xml:space="preserve">　　链接</w:t>
        <w:br/>
        <w:t xml:space="preserve">　　这套人工智能咋这么“聪明”</w:t>
        <w:br/>
        <w:t xml:space="preserve">　　这套人工智能采用了迁移学习算法，就是把已训练好的模型参数迁移到新的模型来帮助新模型训练，也就是运用已有的知识来学习新的知识，找到已有知识和新知识之间的相似性，用成语来说就是“举一反三”。</w:t>
        <w:br/>
        <w:t xml:space="preserve">　　比如，已经学会下围棋，就可以类比着来学习象棋；会打篮球，就可以类比着来学习排球；已经会中文，就可以类比着来学习英语、日语等等。如何合理地寻找不同模型之间的共性，进而利用这个桥梁来帮助学习新知识，就是“迁移学习”的核心。迁移学习被认为是一种高效的技术，尤其是面临相对有限的训练数据时。</w:t>
        <w:br/>
        <w:t xml:space="preserve">　　以医学图像学习为例，该系统会识别预系统中图像的特点，研究人员再继续导入含有第一层图像相似参数和结构的网络系统，最终构建出终极层级。</w:t>
        <w:br/>
        <w:t xml:space="preserve">　　2月26日，四川省华蓥市举办“春风行动2018”招聘会，60余家企业专门为精准扶贫对象提供了800余个岗位。</w:t>
        <w:br/>
        <w:t xml:space="preserve">　　从2015年起，华蓥市利用“春风行动”“精准扶贫对象专场招聘会”等，引导通过培训贫困对象在本地企业就业。三年来，该市已累计有1100余户贫困对象通过“春风行动”就业脱贫。</w:t>
        <w:br/>
        <w:t xml:space="preserve">　　图为一名贫困对象在竞聘成功后喜笑颜开。</w:t>
        <w:br/>
        <w:t xml:space="preserve">　　游  青摄（人民视觉）  </w:t>
        <w:br/>
        <w:t xml:space="preserve">　　节后，载有近千名务工人员的K4258次“务工专列”从四川宣汉站启程，驶往上海方向。据了解，西安客运段已连续20年担当近600趟“务工专列”的乘务工作，运送务工人员近150万。</w:t>
        <w:br/>
        <w:t xml:space="preserve">　　家住陕西紫阳县东木镇的徐顺军，要去上海务工，从紫阳站一上车，便躺在了自己的铺位上，乐呵呵地说：“去上海要近27个小时的车程，往年都是坐硬座去的，很辛苦，今年就和自己的老乡们都买了卧铺票，宽敞舒服”。</w:t>
        <w:br/>
        <w:t xml:space="preserve">　　据悉，为满足秦巴山区务工人员的长途旅行需求，提升乘车舒适度，今年在去往上海方向的每趟务工专列上增加了436个卧铺席位，担当此趟列车的西安客运段从列车乘务人员配备、饮食供应、便民服务、安全卡控、氛围布置等方面均进行了积极准备。</w:t>
        <w:br/>
        <w:t xml:space="preserve">　　本报北京2月27日电  （记者李丽辉、吴秋余）财政部、税务总局近日发布通知，明确了公益性捐赠支出企业所得税税前结转扣除有关政策，自2017年1月1日起执行。</w:t>
        <w:br/>
        <w:t xml:space="preserve">　　通知明确，企业通过公益性社会组织或者县级（含县级）以上人民政府及其组成部门和直属机构，用于慈善活动、公益事业的捐赠支出，在年度利润总额12%以内的部分，准予在计算应纳税所得额时扣除；超过年度利润总额12%的部分，准予结转以后三年内在计算应纳税所得额时扣除。</w:t>
        <w:br/>
        <w:t xml:space="preserve">　　企业当年发生及以前年度结转的公益性捐赠支出，准予在当年税前扣除的部分，不能超过企业当年年度利润总额的12%。</w:t>
        <w:br/>
        <w:t xml:space="preserve">　　企业发生的公益性捐赠支出未在当年税前扣除的部分，准予向以后年度结转扣除，但结转年限自捐赠发生年度的次年起计算最长不得超过三年。企业在对公益性捐赠支出计算扣除时，应先扣除以前年度结转的捐赠支出，再扣除当年发生的捐赠支出。</w:t>
        <w:br/>
        <w:t xml:space="preserve">　　本报西安2月27日电  （记者龚仕建）为进一步激发医疗领域社会投资活力，陕西省日前出台实施方案，支持社会力量提供多层次多样化医疗服务，提出到2020年，社会力量办医能力明显增强，非公立医疗机构床位数和服务量均达到全省所有医疗机构总量的25%。</w:t>
        <w:br/>
        <w:t xml:space="preserve">　　陕西放宽市场准入，按照全省每千常住人口145张床位为社会办医预留规划空间，个体诊所设置不受规划布局限制。支持社会力量举办、运营高水平全科诊所，鼓励社会办全科诊所提供个性化签约服务。</w:t>
        <w:br/>
        <w:t xml:space="preserve">　　同时，鼓励兴办医养结合机构，支持社会办医疗机构提供家庭签约服务，推进健康养老产业基地建设，打造高端医疗、中医药服务、康复疗养、休闲养生等健康旅游产业，促进信息技术与健康服务产业深度融合，大力发展互联网医疗、远程医疗。</w:t>
        <w:br/>
        <w:t xml:space="preserve">　　本报上海2月27日电  （记者姜泓冰）一款可穿戴心电仪成为国内启动医疗器械注册人制度试点后获批进入市场的首个医疗器械产品。该产品从正式受理至准予进入市场仅用时26个工作日，比法定工作时限缩短了82%。</w:t>
        <w:br/>
        <w:t xml:space="preserve">　　今年1月9日，国家食品药品监督管理总局发布“关于上海市食品药品监督管理局开展医疗器械注册人制度试点工作的公告（2018年第1号）”。按照新的医疗器械注册人制度，在上海自贸区内的注册人不具备相应生产资质与能力的，可委托上海市医疗器械生产企业生产产品，注册证和生产许可由此“解绑”。</w:t>
        <w:br/>
        <w:t xml:space="preserve">　　医疗器械注册人制度的改革措施主要包括：允许医疗器械注册人直接委托上海市医疗器械生产企业生产产品和样品；允许注册人多点委托生产；允许上海的受托生产企业提交委托方持有的医疗器械注册证申请生产许可等。</w:t>
        <w:br/>
        <w:t xml:space="preserve">　　日前，安徽合肥南站“明亮雷锋服务站”旁，需要改签车票的留学生凯特琳怎么也没想到，本以为会很麻烦的语言沟通问题在合肥南站智能翻译系统的帮助下竟然轻松解决。每天从合肥选择铁路出行的外籍旅客约500人次。合肥南站客运值班员王萍说，智能翻译系统不仅可以翻译英语、俄语、德语等5种外语，还具备翻译藏语、维吾尔语等我国民族语言的功能。</w:t>
        <w:br/>
        <w:t xml:space="preserve">　　来自新疆的旅客阿布来提·吾加阿吾提来到服务台求助，王萍立即打开智能翻译系统请他对讲。原来他的棕色斜挎背包在车站内丢了。在得知阿布来提·吾加阿吾提在站内某快餐店吃的午饭后，王萍立即拨通了店铺电话询问。15分钟后，工作人员将落在座位上的背包送来。看到背包失而复得，阿布来提·吾加阿吾提对智能翻译系统一个劲地赞叹：“太神奇了！”</w:t>
        <w:br/>
        <w:br/>
        <w:br/>
        <w:t xml:space="preserve">　　今年中央一号文件对期货市场管理农业风险、服务“三农”作出了部署。在实施乡村振兴战略的大背景下，我国期货市场将如何落实一号文件精神，服务农业产业发展？大连商品交易所党委书记、理事长李正强近日接受了专访。</w:t>
        <w:br/>
        <w:t xml:space="preserve">　　涉农商品风险管理需求强烈</w:t>
        <w:br/>
        <w:t xml:space="preserve">　　问：今年的中央一号文件以“实施乡村振兴战略”为主题，期货市场可以从哪些方面服务乡村振兴战略？</w:t>
        <w:br/>
        <w:t xml:space="preserve">　　李正强：作为中国特色社会主义市场体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