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铁产业结构调整、转型升级的重要抓手。新的《钢铁行业产能置换实施办法》释放了怎样的政策信号？下一步钢铁去产能是否可以松口气了？</w:t>
        <w:br/>
        <w:t xml:space="preserve">　　产能置换“闸门”作用将进一步凸显</w:t>
        <w:br/>
        <w:t xml:space="preserve">　　“早在2013年10月，国务院出台《关于化解产能过剩严重过剩矛盾的指导意见》，就提出钢铁行业严禁建设新增产能项目，项目建设须制定产能置换方案，实施等量或减量置换。”中国钢铁工业协会发展与科技环保部副主任秦松介绍，2015年工信部下发《部分产能严重过剩行业产能置换实施办法》，明确要求产能严重过剩行业项目建设必须制定产能置换方案，实施等量或减量置换，在京津冀、长三角、珠三角等环境敏感区域实施减量置换。该办法有效期于2017年底截止。今年1月1日起，工信部新修订实施《钢铁行业产能置换实施办法》。</w:t>
        <w:br/>
        <w:t xml:space="preserve">　　冶金工业规划研究院院长李新创介绍，2017年钢铁产能置换呈现爆发式增长。据不完全统计，各地已公示公告了近40家钢铁企业产能置换方案，涉及新建炼铁产能4566万吨、炼钢产能5290万吨。当前，进行有条件备案的冶炼产能一代炉退役期逐渐临近。同时，按照《产业结构调整指导目录》，钢铁企业通过减量置换技改升级，将小高炉、小转炉置换为1200立方米及以上高炉、100吨及以上转炉、电弧炉，也已迫在眉睫。未来一个时期，产能置换的“闸门”作用将进一步凸显。</w:t>
        <w:br/>
        <w:t xml:space="preserve">　　今年任务量仅为去年一半，去产能难度却未减</w:t>
        <w:br/>
        <w:t xml:space="preserve">　　2016年以来，我国共压减粗钢产能1.15亿吨，按照1.4亿吨去产能目标任务倒推，2018年还有2500万吨粗钢压减任务。</w:t>
        <w:br/>
        <w:t xml:space="preserve">　　“今年的钢铁去产能目标任务，应该能顺利完成。”李新创介绍，我国去产能目标任务的确定是通过地方政府深入调研，“由下而上”反馈，并通过国家发改委、工信部等部门“由上至下”决策，中央和地方“三上三下”反复论证的结果。去产能目标任务早已分解到各地，落实到了具体企业、具体装备。“不过，今年钢铁去产能面临的形势，比前些年更复杂，不可盲目松懈。”李新创说。</w:t>
        <w:br/>
        <w:t xml:space="preserve">　　首先，去产能深入推进，落后钢铁产能、独立炼铁炼钢企业以及综合竞争力较弱的企业几乎淘汰殆尽。虽然今年的去产能任务量比前两年少得多，但难度丝毫未减。</w:t>
        <w:br/>
        <w:t xml:space="preserve">　　其次，当前企业盈利水平较高，对于存在落后产能的企业而言，淘汰1吨钢，中央财政补贴仅100元左右，而且明确要求用于职工安置。如果进行产能交易，目前的吨钢交易价格已高达数百元。巨大的反差容易导致企业主动拆除设备的积极性不高，不排除存在“拖一天是一天”和通过市场进行违规产能交易的侥幸心理。</w:t>
        <w:br/>
        <w:t xml:space="preserve">　　第三，钢价总体回升的大背景下，企业停产前普遍存在提高生产强度、连续超负荷作业的现象，容易引发安全事故。这给加强安全监管、确保落后产能安全有序退出提出了新挑战。</w:t>
        <w:br/>
        <w:t xml:space="preserve">　　扎牢篱笆，避免企业“钻空子”</w:t>
        <w:br/>
        <w:t xml:space="preserve">　　秦松介绍，针对产能置换实践中存在的“上有政策、下有对策”以及少数企业“钻空子”等现象，新《办法》在多方面做了修改。</w:t>
        <w:br/>
        <w:t xml:space="preserve">　　提出用于置换的产能要满足“1个必须+6个不得”。“1个必须”是前提条件，用于产能置换的冶炼装备，必须在2016年上报国务院备案去产能实施方案的钢铁行业冶炼装备家底清单内。“6个不得”是“一票否决”项，列入钢铁去产能任务的产能、享受奖补资金和政策支持的退出产能、“地条钢”产能、落后产能、拆除主体设备的产能和铸造等非钢铁行业冶炼产能，不得用于置换。</w:t>
        <w:br/>
        <w:t xml:space="preserve">　　加严置换比例要求。环境敏感区域置换比例继续执行不低于1.25∶1，其他地区由等量置换调整为减量置换。</w:t>
        <w:br/>
        <w:t xml:space="preserve">　　完善产能换算表。为避免企业玩“数字游戏”，以置换退出普钢炉建设特钢炉为名新增产能，新《办法》对用于计算置换比例的产能换算表进行了调整，要求各企业退出产能和建设产能都要用这套换算表进行计算，做到“一把尺子量到底”。</w:t>
        <w:br/>
        <w:t xml:space="preserve">　　增加承接置换产能的区域限制。未完成钢铁产能总量控制目标的省（区、市），不得接受其它地区出让的产能。</w:t>
        <w:br/>
        <w:t xml:space="preserve">　　“这些举措的目的只有一个，就是严禁新增钢铁产能。”秦松说。</w:t>
        <w:br/>
        <w:t xml:space="preserve">　　投资养老，保险业为何兴致高？</w:t>
        <w:br/>
        <w:t xml:space="preserve">　　国家给政策、行业有动力，“保险系”养老院加速扩张</w:t>
        <w:br/>
        <w:t xml:space="preserve">　　刘葆锴老人再有3个月就满80岁了。2015年6月，他和老伴卖掉自家房子，成为泰康保险集团投资建设的专业养老机构泰康之家·燕园的第一批住户。</w:t>
        <w:br/>
        <w:t xml:space="preserve">　　燕园的软硬件比一般养老机构好很多。园区分为独立生活区、专业区以及失忆老人区，有多个户型，居民可把平时用惯了的家具家什搬来，独门独户营造自己的小空间。公共活动区整洁宽敞，室外是花园绿地，室内有泳池、图书馆、电子高尔夫室、小影院以及多间教室。在一楼大厅，还有一间近300平方米的挑高阳光房，冬暖夏凉，绿植葱郁。阴雨天，老人们就去那里锻炼、上网、聊天、喝茶。</w:t>
        <w:br/>
        <w:t xml:space="preserve">　　社区派专人打扫房间，一日三餐饭菜挺可口。不做家务，老人们也不闲着。“书法、绘画、养生、声乐，都请名师授课，还组织外出参观。”刘葆锴的老伴孟阿姨说。</w:t>
        <w:br/>
        <w:t xml:space="preserve">　　最让老两口满意的是医疗条件。每两层楼就派一名专职大夫，每周定期巡诊。社区里到处是24小时响应的按铃，突发急症有医生处置，有对口医院绿色通道接诊。“社区里也有医院，头疼脑热能就近把病看了。以前住在家里，去最近的医院路程也得半小时，去了还要排大队。”孟阿姨说，去年10月份，刘葆锴身体不适，找到社区医生，服用急救药物后马上转送到附近大医院。“是脑梗！幸亏发现得早，否则后果不堪设想。”</w:t>
        <w:br/>
        <w:t xml:space="preserve">　　泰康人寿是国内最早投资养老机构的保险公司之一。目前已在北京、三亚等11个核心城市投资建设大规模的医养社区。“康复、保健和急救系统比较完善，仅2017年燕园社区康复医院就实施了上百次危急抢救，绝大部分都很成功。”泰康之家首席执行官刘挺军说。</w:t>
        <w:br/>
        <w:t xml:space="preserve">　　保险公司对投资医疗领域也兴致颇高。如阳光人寿投资建设阳光融和医院、中国人寿收购南阳南石医院，等等。阳光保险集团董事长张维功表示，未来10年，阳光集团在健康医疗产业将投资千亿元资金。</w:t>
        <w:br/>
        <w:t xml:space="preserve">　　中国平安借助互联网，搭建“平安好医生”移动医疗平台，提供家庭医生、消费型医疗等服务。截至2017年底，平安好医生人工智能辅助自有医疗团队的医疗人员888名，日均在线咨询量37万次。</w:t>
        <w:br/>
        <w:t xml:space="preserve">　　随着我国迈入老龄化社会，各路资本纷纷逐鹿养老健康市场。保险资金周期长、规模大、稳定性强，与养老健康产业有天然契合点。一直以来，保险业投资养老健康产业的意愿都比较强烈。</w:t>
        <w:br/>
        <w:t xml:space="preserve">　　另一方面，国家连续出台各项涉及养老健康服务业的政策，更是推动险资在相关领域大手笔投入的关键。</w:t>
        <w:br/>
        <w:t xml:space="preserve">　　2015年10月，国家发改委、保监会联合印发《关于保险业支持重大工程建设有关事项的指导意见》，提出要充分发挥保险资金长期投资和保险业风险保障的独特优势，支持包括养老、医疗、健康在内的民生工程和重大工程建设。</w:t>
        <w:br/>
        <w:t xml:space="preserve">　　2017年5月发布的《中国保监会关于保险业支持实体经济发展的指导意见》进一步明确提出“支持保险资金参与医疗、养老和健康产业投资，支持保险资金以投资新建、参股、并购等方式兴办养老社区，增加社会养老资源供给，促进保险业和养老产业共同发展。”</w:t>
        <w:br/>
        <w:t xml:space="preserve">　　“目前保险业已经成为投资养老、健康产业的重要力量。”保监会人身险监管部主任袁序成介绍，截至2017年末，国内共有8家保险机构在国内18个省区投资30个养老社区项目，占地面积1150万平方米，实际投资金额299亿元，设计床位数43435个。多个养老社区项目已进入运营阶段。</w:t>
        <w:br/>
        <w:t xml:space="preserve">　　除了直接投资兴建养老社区，不少机构还以股权基金、收购等方式涉足养老产业。</w:t>
        <w:br/>
        <w:t xml:space="preserve">　　优质服务供给缺口怎么补？</w:t>
        <w:br/>
        <w:t xml:space="preserve">　　“草根”养老市场前景广阔，亟待保险资金服务“下沉”</w:t>
        <w:br/>
        <w:t xml:space="preserve">　　入住泰康燕园前，刘葆锴一家先交了90万元的押金。“算下来我俩每个月伙食费、房租、服务费要1.2万元。这个价格是2015年合同上约定的，按约3年一个周期，还会调价。我私下里打听了，下一个租期要上调3%，这个价格我们还能接受。”</w:t>
        <w:br/>
        <w:t xml:space="preserve">　　不过对工薪阶层来说，燕园的养老“门槛”仍然太高。</w:t>
        <w:br/>
        <w:t xml:space="preserve">　　“我翻过泰康燕园的资料，确实让人动心。可先交100来万元的押金不说，我们老两口每月的退休金加起来都不够伙食费和房租，住不起啊。”北京通州的海爽今年68岁，他考虑过机构养老，考察住家附近的公办养老院，不是一床难求，就是环境服务差，都不称心。</w:t>
        <w:br/>
        <w:t xml:space="preserve">　　“保险系的高档养老社区，只是满足了很小一部分家庭的需要。”南开大学保险系教授朱铭来指出，相对于广阔市场需求，优质养老服务供给还远远不足。</w:t>
        <w:br/>
        <w:t xml:space="preserve">　　泰康保险集团董事长陈东升表示，接下来将创新产品，开发一批小户型养老社区，让更多的人享受到高品质的养老生活。</w:t>
        <w:br/>
        <w:t xml:space="preserve">　　2017年10月，合众人寿在武汉的国内首个CCRC社区（持续健康退休社区）开业，融居家、社区和机构三种养老方式于一体，最低每月1500元就能入住。</w:t>
        <w:br/>
        <w:t xml:space="preserve">　　君康人寿相关负责人向记者透露，今年将通过资本运作收购专业养老服务机构，在全国开展连锁经营。“中国老人还是更喜欢居家养老，我们想为普通居民提供标准化的养老和医疗保健上门服务。”</w:t>
        <w:br/>
        <w:t xml:space="preserve">　　袁序成认为，保险业积极参与养老医疗产业发展，能形成社会、企业、居民的多赢格局。“由保险资金投资的养老社区具有以下特点：一是长期持有和运营，不追求快速销售和资金回笼；二是全部采用适老化设计，针对老年人提供服务，满足老年人多元化养老需求；三是由专业养老服务供应商提供医疗、护理、康复、休闲娱乐等服务。”他认为，这种慢工出细活的做法，能打造出一批较好品质的养老机构。</w:t>
        <w:br/>
        <w:t xml:space="preserve">　　“保险公司投资养老产业，从保险机构来看，这是自身产业链的延伸，可以扩大品牌影响力，使其从事后经济补偿转变为事前管理，摆脱单纯依靠利差盈利模式；从养老产业来看，丰富了养老供给的主体，促进保险业和养老产业融合发展；从宏观政策来看，可以完善多层次社会保障体系，在一定程度上分担政府压力。”中央财经大学保险学院副院长徐晓华说，保险公司应该逐步打通养老、健康、护理等与主业相关产业的链条，建立大保险生态圈，更好地实现“保险姓保”。</w:t>
        <w:br/>
        <w:t xml:space="preserve">　　商业养老发展能否更有力？</w:t>
        <w:br/>
        <w:t xml:space="preserve">　　弥补人才短板，配套政策要到位，强化跨行业、跨领域合作</w:t>
        <w:br/>
        <w:t xml:space="preserve">　　不过，“保险系”养老、医疗机构，也面临一些依靠自身无法解决的难题。</w:t>
        <w:br/>
        <w:t xml:space="preserve">　　——人才短板。</w:t>
        <w:br/>
        <w:t xml:space="preserve">　　“全科医生、专业护理人才短缺是目前医养社区发展面临的巨大挑战。”刘挺军说，我国有全科医生20.9万人，占整个医生队伍总数的6.6%，而欧美等发达国家这个比例为30%—40%。国内现有养老护理人员不到30万人，按国际照护比，养老护理人员缺口1000多万人。“全科医生和专业护理人员的培养和培训力度不足、教学体系不够完备，以及养老从业人员文化程度低、工作强度大、整体收入少等问题，都是横在养老产业面前的难题。这些问题不解决，医养社区服务质量会跟不上扩张节奏。”</w:t>
        <w:br/>
        <w:t xml:space="preserve">　　——配套政策不到位。</w:t>
        <w:br/>
        <w:t xml:space="preserve">　　按规定，保险养老社区的养老服务收入可以减免税费，但租金收入无法享受税收优惠，而且保险养老社区还需要缴纳房产税、土地使用税等相关税费。此外，部分地方政府对非营利性养老机构给予一次性建设补贴、床位补贴及运营补贴等，由于保险机构投资的商业养老社区无法享受上述配套政策，与新建非营利性养老机构相比，成本差异很大。</w:t>
        <w:br/>
        <w:t xml:space="preserve">　　“根据现行民政部规定，养老机构用电、用水、用气等能源价格按照居民生活类执行，但向相关部门申请及具体操作落实仍存在困难。同时，养老社区开发建设审批流程较长，也缺少便捷审批的举措。”朱铭来说。</w:t>
        <w:br/>
        <w:t xml:space="preserve">　　——跨行业的政策衔接、标准统一问题。</w:t>
        <w:br/>
        <w:t xml:space="preserve">　　保险资金开展养老、健康产业投资，涉及专业人员培训、医疗服务配套、医保定点支持、行业标准指导等事项，目前各部门之间还缺少协调联动。</w:t>
        <w:br/>
        <w:t xml:space="preserve">　　“比如，很多养老社区医院的医疗费用还不能医保报销。再如，保险公司开发产品时需要养老院、医院等外部机构提供数据支持，是否允许双方精算、财务合作，涉及现有各部门监管规则的调整。”朱铭来认为，支持保险业投资养老医疗产业，相关制度改革和创新还要提速。</w:t>
        <w:br/>
        <w:t xml:space="preserve">　　袁序成表示，保监会将进一步研究支持保险资金投资养老、健康服务业的具体政策，支持保险机构根据主业发展规划和投资规模，制定适合自身特点的养老、健康服务业投资模式；支持保险机构加强与专业医疗机构和养老运营商合作，通过股权方式，共同发起设立养老服务企业和健康管理机构，构建以养老社区为依托的养老、医疗、康复、临终关怀等服务相衔接的新型服务模式，不断探索完善适合我国国情的商业养老产业投资模式、运营模式和盈利模式。</w:t>
        <w:br/>
        <w:t xml:space="preserve">　　欧阳洁 再完善的制度也需要监管者不失毫分地严格执行，才能真正落在实处，否则就形同虚设。让监管真正有力度，要拆除金融机构和监管机构人员之前相互跳槽的“旋转门”，隔绝两者之间的利益纠结</w:t>
        <w:br/>
        <w:t xml:space="preserve">　　</w:t>
        <w:br/>
        <w:t xml:space="preserve">　　最近，银监会频频对重大违规案件开出巨额罚单，处罚金融机构相关责任人。严查、处罚金融机构本是监管部门的职责所在，而在近期浦发银行成都分行违规放贷案中，一个细节引起很多人的关注——银监会不仅重罚机构，而且“刀刃向内”，对四川银监局原主要负责人和其他相关责任人进行了严肃问责。</w:t>
        <w:br/>
        <w:t xml:space="preserve">　　防范风险，要改变“牛栏里关猫”的现象，完善相关监管制度。然而，篱笆筑好，还得安排尽职的“守护人”巡逻值班。去年以来，银行业监管部门出台公私分开和履职回避办法等，从制度上预防监管履职中可能产生的腐败问题和道德风险，筑牢公私分开“防火墙”，打好公正履职“防疫针”。统计数据显示，2017年，银监会对重大风险事件中暴露出来的监管履职不尽责不到位问题进行了严肃处理，共问责工作人员69人。正是通过这些努力，让监管人员的责任心得到有效提高，促使其发挥了应有作用。</w:t>
        <w:br/>
        <w:t xml:space="preserve">　　谁来监管金融监管者，是一个永恒话题。每一次金融危机的爆发都会伴随着对金融监管漏洞的反省，甚至有人将危机的爆发归咎于金融监管失灵，认为正是金融守护人即监管人的政策导向，诱发金融家过度承担风险，而在日常监管中却对风险隐患视而不见，最终导致风险爆发。</w:t>
        <w:br/>
        <w:t xml:space="preserve">　　打好防控金融风险攻坚战，监管者的担当和尽责显得尤为重要。制度是监管的基础和生命线，但再完善的制度还需要监管者不失毫分地严格执行，才能真正落在实处，否则就形同虚设。监管者对风险的态度，决定了市场对风险的好恶；监管者与金融从业人员的近疏，决定了监管者在关键时刻是否敢于“亮剑”；监管者对违法者处罚的力度，成为市场权衡违法成本的标尺。筑牢防风险的屏障，离不开敢于监管、严于监管、善于监管的“守护人”。</w:t>
        <w:br/>
        <w:t xml:space="preserve">　　真监管，意味着应认识到自身的职责和本分。监管者和谁站在一起？监管者的责任是什么？如果没有划清监管者和被监管机构的界限，监管难免失之于软，不自觉就会朝着有利于被监管者的方向偏移。让监管真正有力度，先要隔绝两者之间的利益纠结，拆除金融机构和监管机构人员之前相互跳槽的“旋转门”，让监管人员跳出机构的利益格局来辨识风险、评判优劣。“监管姓监”的职责定位，把防控风险摆在了监管的首位，其政策导向就不能再为了规模膨胀而漠视风险，这样才能向市场传递出“防风险”至上的理念。</w:t>
        <w:br/>
        <w:t xml:space="preserve">　　会监管，关键是适应市场变化，加强自身能力建设。当下金融业务相互交织、错综复杂，大数据、云计算、人工智能技术也已深度嵌入金融领域，金融市场繁复程度远非以往。监管要走出固守领地，深入市场、贴近市场，才能把脉市场症结，对症下药；也得升级监管手段，跟上互联网速度，捕捉“云”上的“风险眼”。</w:t>
        <w:br/>
        <w:t xml:space="preserve">　　监管要公开。让监管职权运行在公众视线之下，会对其形成有效的制约和监督，监管就不再只是监管者和机构之间的“猫鼠游戏”。监管思路更要积极向市场公开，政策传导有时滞，效应也是逐步显现的，但政策方向既定，就能引导市场预期和行为，保证政策效果。监管机构向市场传递坚决“防控金融风险”的信号，会让金融机构对风险敬畏三分，严控风险、合规经营。公开既是对权力的约束，也是对机构经营有益的引领。</w:t>
        <w:br/>
        <w:t xml:space="preserve">　　监管是科学，也是艺术。科学的监管强调精准的计量和测算，艺术的监管讲究时机和权衡。在科学和艺术之间，监管者既要严谨守则，也要有高超的平衡能力，但更重要的是秉持“防控金融风险”的首要职责，在打好防范化解重大风险攻坚战中，当好尽责的“守护人”。</w:t>
        <w:br/>
        <w:t xml:space="preserve">　　2012年底，《中华人民共和国老年人权益保障法》修订案经全国人大常委会审议通过，于2013年7月1日起正式施行。新修订的《老年人权益保障法》从家庭赡养和扶养、社会保障、社会服务、社会优待、宜居环境、参与社会发展、法律责任等方面，对积极应对人口老龄化、保障老年人权益做出了全面的法律部署。</w:t>
        <w:br/>
        <w:t xml:space="preserve">　　2013年9月，《国务院关于加快发展养老服务业的若干意见》对养老服务业发展做出了顶层设计和全面部署。</w:t>
        <w:br/>
        <w:t xml:space="preserve">　　2016年3月，《国民经济和社会发展第十三个五年规划纲要》对积极应对人口老龄化首次单设一章，提出建立以人口战略、生育政策、就业制度、养老服务、社保体系、健康保障、人才培养、环境支持、社会参与等为支撑的应对体系，以促进人口均衡发展和健全养老服务体系。</w:t>
        <w:br/>
        <w:t xml:space="preserve">　　2016年12月，为促进养老服务业更好更快发展，国务院办公厅印发了《关于全面放开养老服务市场提升养老服务质量的若干意见》，对进一步放开准入条件、优化市场环境、提升居家社区养老生活品质、建设优质供给体系等方面提出明确的任务要求，并提出17项重点任务分工。</w:t>
        <w:br/>
        <w:t xml:space="preserve">　　2017年2月，国务院印发《“十三五”国家老龄事业发展和养老体系建设规划》，提出了8个方面主要任务，夯实“十三五”时期老龄事业发展和养老体系建设的制度、物质、人才、技术和社会基础。</w:t>
        <w:br/>
        <w:t xml:space="preserve">　　钱袋子的安全，对每个人都很重要。近日，中国人民银行印发了《关于改进个人银行账户分类管理有关事项的通知》，从便利Ⅱ、Ⅲ类户开立和使用着手，推动Ⅱ、Ⅲ类户成为个人办理网上支付、移动支付等小额消费缴费业务的主要渠道。</w:t>
        <w:br/>
        <w:t xml:space="preserve">　　如果说3类银行账户是人们3个不同资金量的钱包，那么，Ⅰ类户是“钱箱”，Ⅱ类户是“钱夹”，Ⅲ类户是“零钱包”。以Ⅲ类户为例，此次《通知》着重便利了Ⅲ类户的开立和使用，“零钱包”的功能会得到更大发挥。</w:t>
        <w:br/>
        <w:t xml:space="preserve">　　账户开立方面，在确保实名制底线的前提下，大大提升开户便捷性。个人开立Ⅲ类户时，可暂缓出示身份证件，只需填写个人姓名、身份证件号码、绑定账户账号和联系方式等基本信息即可开户。只有当同一个人在同一家银行所有Ⅲ类户资金双边收付金额累计达到5万元（含）以上时，银行才要求个人在7日内提供有效身份证件，并留存身份证件复印件、影印件或影像，登记个人职业、住所地或工作单位地址、证件有效期等其他身份基本信息。</w:t>
        <w:br/>
        <w:t xml:space="preserve">　　账户使用方面，在满足反洗钱、反诈骗要求的前提下，放宽使用限制。一是非面对面线上开立Ⅲ类户能够接受非绑定账户入金，以满足个人之间小额收付款、发放红包、与个人支付账户对接、银行或商户小额返现奖励等场景需求。二是Ⅲ类户账户余额从1000元提升为2000元。三是允许银行向Ⅲ类户发放本行小额消费贷款并通过Ⅲ类户还款，鼓励银行基于Ⅲ类户提供更多元化的产品设计和功能组合。四是将Ⅲ类户消费和缴费支付、非绑定账户资金转出等出金年累计限额从原10万元下调为5万元，更好地平衡安全和效率的关系。</w:t>
        <w:br/>
        <w:t xml:space="preserve">　　怎样让账户更安全？</w:t>
        <w:br/>
        <w:t xml:space="preserve">　　业内人士建议，Ⅰ类户的特点是安全性要求高，资金量大，适用于大额支付；Ⅱ、Ⅲ类户的特点是便捷性突出，资金量相对小，适用于小额支付，Ⅲ类户尤其适用于移动支付等新兴的支付方式。用户可根据需要，主动管理自己的账户，把资金量较大的账户设定为Ⅰ类户，把经常用于网络支付、移动支付的账户降级，或新增开设Ⅱ、Ⅲ类户用于这些支付，这样既能有效保障账户资金安全，又能体验各种便捷、创新的支付方式，达到支付安全性和便捷性的统一。</w:t>
        <w:br/>
        <w:t xml:space="preserve">　　此外，工商银行、民生银行、招商银行等创新产品，推出了“账户安全锁”服务，让你的账户更安全，用户也可为自己的账户再加把“锁”。</w:t>
        <w:br/>
        <w:t xml:space="preserve">　　以工行推出的账户安全锁为例，通过“境外锁”“地区锁”“夜间锁”“境外无卡支付锁”和“限额锁”等“五把大锁”，可帮助客户全面防控盗刷风险。其中，若启用“境外锁”，境外常用国家或地区以外无法进行ATM取现、POS刷卡消费；启用“地区锁”，在境内常用地以外无法进行ATM取现及POS刷卡消费；启用“夜间锁”，在境内地区北京时间23：00至次日5：00无法进行ATM取现及POS刷卡消费；启用“境外无卡支付锁”，则会暂停卡片的境外无卡交易功能；启用“限额锁”，当消费金额大于卡片设置的POS刷卡消费限额时，交易则会中止。</w:t>
        <w:br/>
        <w:t xml:space="preserve">　　本报电 国家开发银行行长郑之杰近日表示，2017年国开行国际业务在服务国家战略、支持“一带一路”建设、推进重大项目、开展多双边金融合作、强化风险防控、增强支持保障能力、拓展子公司国际业务等方面取得积极进展，综合竞争力进一步增强。2018年国开行要突出服务“一带一路”建设，全面落实好2500亿元等值人民币专项贷款，推动国际业务迈向高质量发展。据介绍，去年国开行完成配合“一带一路”国际合作高峰论坛筹备工作，与有关方面签署雅万高铁贷款协议等一系列合作文件，推动国开行5大项、25个具体成果纳入高峰论坛成果清单；实现俄罗斯亚马尔LNG、英国HPC核电等重大项目贷款顺利发放。</w:t>
        <w:br/>
        <w:t xml:space="preserve">　　（许志峰） </w:t>
        <w:br/>
        <w:t xml:space="preserve">　　2016年，全年销售汽车2802.8万辆，同比增长13.7%，其中，乘用车销售2437.7万辆，同比增长14.9%。</w:t>
        <w:br/>
        <w:t xml:space="preserve">　　2017年，全年销售汽车2887.9万辆，同比增长3%，其中，乘用车销售2471.8万辆，同比增长1.4%。</w:t>
        <w:br/>
        <w:t xml:space="preserve">　　简单对比销量，2017年的中国汽车市场似乎是“微增长”，1.4%的乘用车增速更是创下了2008年以来的新低。然而，在中国汽车工业协会常务副会长董扬看来，车市增速虽然有所回落，但汽车产业的质量和效益却提升了——去年前11个月，汽车工业重点企业（集团）主营业务收入增长9.8%，利税增长8.9%，全年汽车出口增长25.8%，新能源汽车销量增速更是高达53.3%。“汽车产业正迈向高质量发展。”董扬说。</w:t>
        <w:br/>
        <w:t xml:space="preserve">　　汽车消费迈向中高端</w:t>
        <w:br/>
        <w:t xml:space="preserve">　　豪华车、SUV分别增长17.9%、13.9%，汽车出口增长25.8%</w:t>
        <w:br/>
        <w:t xml:space="preserve">　　“2017年，戴姆勒集团（含奔驰、Smart）在华销售61.09万辆，同比增长25.9%。中国成为戴姆勒全球第一个超过60万辆年销量的单一市场。”北京梅赛德斯—奔驰中国销售服务有限公司总裁兼首席执行官倪凯说，去年，中国市场的强劲增长帮助奔驰重回全球豪华车第一宝座。</w:t>
        <w:br/>
        <w:t xml:space="preserve">　　奔驰的高增长，只是中国汽车消费升级的一个缩影。统计显示，2017年，占豪华车市场销量97%以上的十大豪华汽车品牌累计销售245万辆，同比增长17.9%，比2016年快了6.1个百分点。其中，奔驰、宝马、奥迪在华销量均接近或超过60万辆，凯迪拉克、捷豹路虎、雷克萨斯、沃尔沃累计销量均超过了10万辆。中国已经成为奔驰、宝马、奥迪、沃尔沃、捷豹路虎等多个豪华汽车品牌最大的单一市场。</w:t>
        <w:br/>
        <w:t xml:space="preserve">　　“消费升级不仅给高端品牌带来了机会，还推动了整个车型结构的升级。”上汽集团总裁陈志鑫指出，在车型领域，2017年最大的“蓝海”一是大七座SUV（运动型多功能汽车），二是大型MPV（多功能乘用车）。“上汽大众大型SUV途昂上市前，我们估计一个月能销售5000辆，没想到现在月销1万辆还供不应求。”陈志鑫说，同样超出预期的还有上汽通用大型MPV别克GL8，2017年累计销售14.5万辆，同比劲增82.3%。面向家庭市场的高档中型MPV别克GL6，上市不到两个半月，销量已经超1.75万辆。</w:t>
        <w:br/>
        <w:t xml:space="preserve">　　统计显示，2017年我国SUV销售1029.72万辆，同比增长13.9%。其中，长城汽车累计销售SUV近94万辆，是当之无愧的“霸主”。主打豪华SUV的“WEY”品牌，推出8个月销量就达到了8.64万辆。</w:t>
        <w:br/>
        <w:t xml:space="preserve">　　“即便不考虑前一年的消费透支因素，2017年车市还有一个容易被忽视的亮点，那就是二手车。”中国汽车流通协会秘书长肖政三说，受益于取消二手车限迁政策的落地，2017年，我国二手车交易量为1240.09万辆，同比增长19.33%，交易金额8092.72亿元，同比增长34%。这是继2016年二手车交易量突破千万大关后，连续第二年高速增长。</w:t>
        <w:br/>
        <w:t xml:space="preserve">　　同样不容忽视的还有汽车出口。2017年，我国汽车出口89.1万辆，同比增长25.8%，这也是汽车出口连续4年下降后出现的首次增长。中汽协会秘书长助理许海东表示，去年出口向好得益于全球经济形势的好转，得益于中国品牌汽车企业不断提升产品竞争力、加紧海外布局，同样离不开“一带一路”倡议为车企走出去带来的诸多政策利好。据统计，去年前8个月，对“一带一路”建设参与国的汽车出口数量占汽车出口总量的60.88％。</w:t>
        <w:br/>
        <w:t xml:space="preserve">　　中国品牌乘用车集体崛起</w:t>
        <w:br/>
        <w:t xml:space="preserve">　　中国品牌乘用车占有率43.88%，比上年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