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局，张蓓雯凭借稳定发挥首先拿到11分。换边之后比赛连续平分后，双方比分又开始交替上升，最终张蓓雯以22∶20获得胜利。</w:t>
        <w:br/>
        <w:t xml:space="preserve">　　其余场次，印尼队的波莉/拉哈约以21∶18、21∶15战胜泰国的吉蒂哈拉库尔/普拉琼加夺得女双金牌。而印尼名将吉迪恩/苏卡姆约的组合以21∶14、21∶16击败丹麦组合阿斯特鲁普/拉斯穆森赢得男双金牌。混双比赛中，丹麦选手克里斯滕森/彼德森直落两盘，以21∶14、21∶15轻取印尼的乔丹/奥克塔维安蒂组合。</w:t>
        <w:br/>
        <w:t xml:space="preserve">　　本报北京2月5日电  （记者李硕）美国职业橄榄球大联盟（NFL）“超级碗”总决赛当地时间4日晚在明尼阿波利斯的银行体育场落下帷幕，费城老鹰队以41∶33爆冷战胜“超级碗”五冠王新英格兰爱国者队，历史上首次夺得“超级碗”冠军。老鹰队的四分卫福尔斯成为本届“超级碗”的最有价值球员。</w:t>
        <w:br/>
        <w:t xml:space="preserve">　　新英格兰爱国者队作为传统豪门，曾五夺“超级碗”。去年的决赛中，爱国者队上演惊天逆转战胜了亚特兰大猎鹰队。但在今年的“超级碗”中，他们却没有再次重演逆转好戏。比赛开始后，两队展开对攻大战，老鹰队一路领先，以22∶12进入中场休息。第三节开始后，爱国者队展开反击，将比分追至26∶29。最后一节，爱国者队凭借四分卫布雷迪连续组织的精彩进攻，以33∶32将比分反超。老鹰队临危不乱，利用一次达阵得分再次以38∶33领先。被逼到悬崖边的爱国者队抓紧最后时间发起进攻，但球队核心布雷迪却在关键时刻出现失误，老鹰队的格雷厄姆将其所持的橄榄球打掉，并借机发动进攻，老鹰队从而将比分锁定在41∶33，队史首夺“超级碗”。而爱国者队则无缘“超级碗”第六冠，未能完成4年夺三冠的目标。</w:t>
        <w:br/>
        <w:t xml:space="preserve">　　据新华社摩洛哥拉巴特2月4日电  （记者陈斌杰）4日晚，在摩洛哥最大城市卡萨布兰卡进行的第五届非洲国家足球锦标赛决赛中，东道主摩洛哥队以4∶0战胜尼日利亚队获得冠军。</w:t>
        <w:br/>
        <w:t xml:space="preserve">　　第五届非洲国家足球锦标赛于1月12日至2月4日在摩洛哥的卡萨布兰卡、丹吉尔、马拉喀什和阿加迪尔等4个城市举行，共有16支参赛队伍。与非洲杯不同，非洲国家足球锦标赛是一项“纯本土”的赛事，参赛的国家队必须全部由在非洲各国国内联赛踢球的球员组成。</w:t>
        <w:br/>
        <w:t xml:space="preserve">　　当日式养蛙游戏风靡中国，中国自主研发的网络游戏也在收割众多海外玩家的心。</w:t>
        <w:br/>
        <w:t xml:space="preserve">　　《2017年中国游戏产业报告》显示，2017年中国自主研发网络游戏海外市场实际销售收入达82.8亿美元，同比增长14.5%。而在2012年，这个数字是5.7亿美元。</w:t>
        <w:br/>
        <w:t xml:space="preserve">　　“中国自主研发游戏的海外影响力和市场地位都在提升，目前中国已经成为名副其实的游戏输出大国。”伽马数据首席分析师滕华说。</w:t>
        <w:br/>
        <w:t xml:space="preserve">　　在国际游戏市场的大江湖中，中国游戏已不容小觑。</w:t>
        <w:br/>
        <w:t xml:space="preserve">　　拓宽渠道，体量各异的游戏公司以不同方式逐鹿海外</w:t>
        <w:br/>
        <w:t xml:space="preserve">　　玄幻仙境色彩饱满明艳，二师兄会狂暴变身，连唐僧也能动作闯关……这样的画风，似乎和人们传统认知中的《西游记》师徒形象不太一样，却是游戏《非常英雄》的基本框架。这款由完美世界法国团队Magic Design工作室创作的游戏作品还未上市，便已在不少游戏展上惊艳亮相，吸睛无数。</w:t>
        <w:br/>
        <w:t xml:space="preserve">　　由国际团队操刀，将中国IP融于游戏之中，这样的出海路线对完美世界而言已是家常便饭。</w:t>
        <w:br/>
        <w:t xml:space="preserve">　　“最早我们直接把制作的游戏产品卖给海外代理商。2008年以后，我们意识到需要掌握主动权，于是在海外投资建立据点，自己做发行，直接为海外用户服务。后来，我们在海外建立了生产研发机构，招募当地人做符合当地欣赏习惯的作品，并在其中融入中国元素，极大促进了收益成长。现在，我们在整合全球资源，做世界级的游戏产品。”完美世界首席执行官萧泓说。目前，完美世界游戏产品的足迹遍布海外100多个国家和地区。</w:t>
        <w:br/>
        <w:t xml:space="preserve">　　模式演变的背后，也折射了出海航路的逐渐畅通。扬帆之初，渠道是许多中国游戏的“拦路虎”，现在，更多渠道涌现出来，能够帮助中国游戏走得更远。随着渠道的不断拓宽，体量各异的游戏公司也在以不同方式逐鹿海外。实力较强的组建海外团队；拥有资本优势的借助收并购快速建立自身的海外市场地位；自主研发能力突出的借助优秀游戏产品打入海外市场。多数中、小游戏企业则与成熟的海外发行企业合作，还有部分企业为区域海外市场定制开发游戏。</w:t>
        <w:br/>
        <w:t xml:space="preserve">　　“10多年前我们往外推游戏时，只有零星几家企业在做，经过10多年的耕耘，整个行业的势头起来了，中国从业者在世界上有相当的话语权，也是因为产品越来越好，渠道越来越多。”萧泓很感慨。</w:t>
        <w:br/>
        <w:t xml:space="preserve">　　紧盯差异，针对不同区域用户的喜好做本地化改造</w:t>
        <w:br/>
        <w:t xml:space="preserve">　　如果把游戏出海比作闯荡江湖，那第一步就是修炼内功。</w:t>
        <w:br/>
        <w:t xml:space="preserve">　　网游江湖高手云集，想开辟一片立身之地并不容易。“海外玩家与国内玩家在游戏偏爱度、娱乐习惯等很多方面存在较大差异，这是中国游戏出海水土不服的主要原因。”游族网络总裁陈礼标说。从2013年首次尝试将魔幻题材网游《女神联盟》向欧美市场发行开始，游族网络便开始了自己的出海征途，其海外地区收入占企业总营收比例不断上升，到2017年上半年已超六成。</w:t>
        <w:br/>
        <w:t xml:space="preserve">　　用户被陈礼标视为游戏出海的最大门槛。通过对海外市场和用户的深入了解，对游戏进行本地化改造，是行业公认的出海关键抓手，也是一大挑战。所谓本地化，就是针对不同区域，做契合当地用户口味的改动处理。“比如同一款角色扮演类游戏，中国玩家更喜欢具备强竞技性的玩法，这与俄罗斯玩家的娱乐偏好相同，但欧美地区的玩家并不喜欢，因此我们会在欧美版本中弱化这一点，并增加一些策略类、强调配合性的团队战斗玩法内容。”陈礼标说。</w:t>
        <w:br/>
        <w:t xml:space="preserve">　　对区域差异性的关注渗透在游戏角色、画面、音效等各种细节中。2016年，游族网络的手游产品《少年三国志》进军日本市场，做了不少本地化改动。比如在游戏中植入大量符合本土用户偏好的人物及配音、修改玩法机制、在推广时与当地强IP“妖精的尾巴”进行联动等。</w:t>
        <w:br/>
        <w:t xml:space="preserve">　　不论大小，改动不易。“用户的喜好和欣赏习惯一直在变化，尤其在一些新兴市场，想要及时跟进也需要不断加深了解。”萧泓表示。</w:t>
        <w:br/>
        <w:t xml:space="preserve">　　高频互动，让海外玩家在浸入式体验中感受中国文化</w:t>
        <w:br/>
        <w:t xml:space="preserve">　　从初出茅庐、小试牛刀到站稳脚跟、榜上有名，中国游戏尝到了出海的甜头，步子愈发坚实，队伍也日益壮大。</w:t>
        <w:br/>
        <w:t xml:space="preserve">　　如今，中国自主研发网络游戏的海外市场收入结构不断优化，目标市场不再局限于东南亚，欧美、日韩、俄罗斯、中东等地区都取得不同程度突破，实现了海外地区的“多点开花”。“产品类型也更加多样，既有海外地区本身强势的策略类，也有中国游戏公司擅长的角色扮演类。此外，音舞类、经营类、多人在线战术竞技类等不同类型产品都出现在海外市场上。”滕华介绍。</w:t>
        <w:br/>
        <w:t xml:space="preserve">　　出海江湖路的背后，中国游戏也有自己的独门秘籍：中国元素。</w:t>
        <w:br/>
        <w:t xml:space="preserve">　　“从商业角度看，海外收益的确是衡量游戏走出去的重要尺度，但扩大中国文化的传播范围也是我们的重要考量。”在萧泓看来，传播中国文化不是初始目的，而是重要结果，“我们坚信，中国文化中的许多元素能给海外玩家带去更美好的体验，这些能给游戏增加光彩的中国元素也是我们所寻找的。”在游戏中，传统文化的烙印大小不一，或许是整体框架，比如较早出海、以中国古典神话《山海经》为背景改编的网游《完美世界国际版》，抑或只是单个形象和场景的展示，“想要通过游戏系统地传播中国文化有难度，但我们不以小而不为，重要的是引起海外玩家的兴趣，让他们在体验和交互中感受、理解中国文化。”萧泓说。</w:t>
        <w:br/>
        <w:t xml:space="preserve">　　与影视、文学、动漫等其他文化产品相比，游戏的强互动性使其不是单向地输出，而能在与玩家的高频互动中形成浸入式体验，从而提升文化代入感。不过，想要打好东方风情牌也有不少讲究。</w:t>
        <w:br/>
        <w:t xml:space="preserve">　　在游族网络推出《少年三国志》之前，相同题材的游戏已多如牛毛，“一些三国题材游戏过于强调对历史的还原，差异性极小，也不利于中国文化的传播，所以我们选择用少年形象刻画熟悉的三国人物，用全球年轻人普遍接受的热血风格重述三国历史，将三国故事更鲜活地呈现给全球玩家。”陈礼标说，这也是游族网络的一次大胆探索。结果表明，玩家很买账，除了日韩、东南亚，在不熟悉三国历史的北美地区，这款游戏也取得了不错的成绩。</w:t>
        <w:br/>
        <w:t xml:space="preserve">　　漫漫出海路，有许多需要攻克的难关。比如数字发行能力，怎样找到目标受众，用合适的方式进行精准投放？比如人才缺口，如何在海外吸引当地顶尖的技术和管理人才，让团队更有竞争力？比如法律法规，怎样适应当地大环境？还有企业心态，是到此一游还是下决心深耕海外，即便成功与回报可能慢热？</w:t>
        <w:br/>
        <w:t xml:space="preserve">　　不过，这些困难没有让中国的游戏公司停下脚步。他们依旧在努力向世界输送高品质、充满中国元素的游戏产品，期待它们在世界各地受追捧，同时寻找兼顾商业利益和传播中国文化的最佳方式。“中国的国家实力一直在增强，现在大环境和行业势头都很好，未来还会越来越好，有什么理由不往前冲？”萧泓笑着反问道。</w:t>
        <w:br/>
        <w:t xml:space="preserve">　　日前印发的《中共中央国务院关于实施乡村振兴战略的意见》指出，要积极发挥新乡贤作用。近日，山东省邹城市唐村镇“新乡贤社区”揭牌。“成立这样一个社区，就是要搭建一个乡贤工作的新平台，用乡贤文化凝聚道德力量，提升群众素质，推动社会进步。”唐村镇党委书记高胜说。</w:t>
        <w:br/>
        <w:t xml:space="preserve">　　走进镇上的“邹鲁乡贤馆”，浓浓的文化气息扑面而来。邹鲁之地是儒家文化发源地，乡贤文化绵延不绝。馆内展有唐村镇推选、培养的数十名新乡贤的照片，他们灿烂的笑脸尤为醒目。这些人，正成为乡村振兴中一股不可或缺的力量。</w:t>
        <w:br/>
        <w:t xml:space="preserve">　　为什么如此重视发挥乡贤力量？高胜说，前几年调研发现，一个村里小学二年级的41名学生中，竟然有8名学生父母离异。由于超出党务村务范围，村委会在解决这些孩子的家庭问题、给孩子们送关爱上遇到了“尴尬”。还有诸如移风易俗等一些其他事务，尽管村干部很卖力，很多村民就是不买账。</w:t>
        <w:br/>
        <w:t xml:space="preserve">　　“镇里经过调研发现，一些退休干部、退休职工、老教师和老医生等，德高望重、有威信，做事公道、能服人，与群众沟通往往更到位。”高胜说。</w:t>
        <w:br/>
        <w:t xml:space="preserve">　　2016年起，唐村镇启动“儒风唐韵”新乡贤文明行动，以乡情和文化为纽带，充分发挥乡贤的作用，传家风、转民风、保平安、促发展、惠民生，推动乡村治理再上台阶。</w:t>
        <w:br/>
        <w:t xml:space="preserve">　　前葛村乡贤葛春顺出任村红白理事会总理事后，积极推动移风易俗，新事新办。办丧事时由理事会统一发放孝章、白纸花，仪式一律从简，实施新办法后第一户办丧事的村民就省下了12000元，村民一算账，纷纷表示支持。</w:t>
        <w:br/>
        <w:t xml:space="preserve">　　西颜村村委会专门腾出一间房子，为64岁的退休职工齐如松成立了“如松工作室”，并设立了乡贤参事会，制定了规范的活动章程和制度。</w:t>
        <w:br/>
        <w:t xml:space="preserve">　　“用百姓的话，说百姓的理儿；用百姓的法儿，办百姓的事儿。”齐如松颇有心得。</w:t>
        <w:br/>
        <w:t xml:space="preserve">　　如今的唐村镇，子女不孝顺、年轻人啃老、兄弟关系离散等现象越来越少了。“村民听到的，不是村干部的吆三喝四，而是循循善诱、和风细雨，问题就容易解决。”原邹城市文化馆馆长刘向宏说，“文化的力量是无穷的。”</w:t>
        <w:br/>
        <w:t xml:space="preserve">　　每年端午节，唐村镇29个村都会为65岁以上的老人举办“敬老幸福餐”。各村在文化广场上搭起戏台、扎起凉棚，晚辈们端上丰盛的饭菜，让老人们边吃边聊。王炉村5位乡贤人士自发成立了“梦想基金会”，连续5年为村里新考上大学的学生发放助学金。走进村里，家家户户的大门口都挂着一个小小的“家训”牌，写着优秀家风格言或励志警句。</w:t>
        <w:br/>
        <w:t xml:space="preserve">　　唐村镇先后打造了潘榛图书馆、乡贤文化展览馆、乡贤公园、潘氏家祠等场所集中展示乡贤文化，举办了中国新乡贤唐村论坛、乡贤新春茶话会、新乡贤评选等活动，成立孟子研究院家长教育学校唐村分校。乡贤文化正在成为唐村镇的一张名片。</w:t>
        <w:br/>
        <w:t xml:space="preserve">　　高胜介绍，为把工作进一步做实做细，镇党委明确把“深入推进新乡贤文明行动”写进镇党委有关文件中，并完善新乡贤选任、培训、管理办法，建立乡贤列席村“两委”会议和村民代表会议制度。镇上还开办新乡贤讲堂，提升乡贤教化乡民、润泽乡风的能力水平。“原本晚上9点下课，但讲到10点了大家还听得意犹未尽，不愿散去。”高胜说。</w:t>
        <w:br/>
        <w:t xml:space="preserve">　　在参观唐村镇新乡贤治理成果后，北京航空航天大学人文与社会科学高等研究院教授姚中秋兴奋地说：“新乡贤在转变乡村社会风气、推动乡村治理中，有着得天独厚的优势。”</w:t>
        <w:br/>
        <w:t xml:space="preserve">　　本报北京2月5日电  （记者张贺）2017年度“大众喜爱的50种图书”发布会5日在京召开。由国家新闻出版广电总局全民阅读活动组织协调办公室主办，中央部分主要媒体和网站参与的2017年度“大众喜爱的50种图书”推荐活动入选图书正式揭晓。《习近平谈治国理政》第二卷，《习近平的七年知青岁月》《伟大也要有人懂：小目标 大目标 中国共产党一路走来》《红色家书》《朗读者》《海错图笔记》《布罗镇的邮递员》等50种图书入选。</w:t>
        <w:br/>
        <w:t xml:space="preserve">　　此次推荐活动的社会参与热情超出预期，参与网络投票的读者达3200万人次。入选图书包括文化类10种，文学类15种，生活与科普类10种，少儿类15种。总局出版管理司副司长许正明介绍，这些图书重点突出，亮点纷呈，结构合理，品种丰富，能够满足不同年龄、不同层次读者的阅读需求。不仅反映了2017年大众阅读的新趋势，展现了中国优秀图书出版的荣景，更折射出了进入新时代的广大读者对美好精神生活的追求和向往。</w:t>
        <w:br/>
        <w:t xml:space="preserve">　　“大众喜爱的50种图书”推荐活动旨在引导大众广泛参与读书活动，在全社会形成“爱读书、读好书、善读书”的文明风尚。截至2018年，已成功举办8届。</w:t>
        <w:br/>
        <w:t xml:space="preserve">　　日前，量子信息科学：从“理想王国”到“现实王国”；“悟空”获得最精确高能电子宇宙线能谱等12项获中科院2017年度科技创新亮点成果。高低温复式肿瘤微创治疗设备获批上市；世界首条稀土硫化物着色剂连续化隧道窑中试生产线建成投产等6项获科技成果转移转化亮点工作。</w:t>
        <w:br/>
        <w:t xml:space="preserve">　　近年来，中科院通过中国科学院战略性先导科技专项等的部署和实施，取得了一批重大原创成果，进入科研成果丰产期。</w:t>
        <w:br/>
        <w:t xml:space="preserve">　　中科院院长、党组书记白春礼表示，好成绩主要源于积极探索、不断创新组织管理，持续激发创新活力。</w:t>
        <w:br/>
        <w:t xml:space="preserve">　　首先，恪守定位、前瞻部署，与国家科技计划有机衔接。先导专项始终坚持战略性、先导性的定位，在策划立项、咨询论证以及结题验收等环节，充分听取国家有关部门和国内外高水平科技专家意见，恪守先导专项的定位，加强与国家各类科技计划的衔接。第二，集成优势、开放协同，力求科技创新活动效率最大化。充分发挥中科院建制化优势，遴选相关领域核心关键研究力量组成任务攻关团队。同时，以开放协同的理念，积极吸纳院外优势创新力量参与其中。第三，分类管理，突出重点，提升专项管理效率和水平。遵循科研活动规律，研究制定了管理办法及相关管理实施细则，建立了权责明晰、科学规范的管理体系与组织模式。第四，放管结合，激发活力，营造宽松的专心致研环境。同时，加强专项监管，探索建立了专项自管、行政部门监管、第三方评价等多重监管体系。建立信用管理制度和奖惩追责机制，确保各项管理措施落地，对于进展不好、实施成效差的先导专项予以中止。</w:t>
        <w:br/>
        <w:t xml:space="preserve">　　在促进科技成果转移转化方面，中科院近年来也做了一系列重要部署，面向国民经济主战场，全面深入实施“率先行动”计划，统筹全院力量，持续推进“促进科技成果转移转化专项行动”，加强科技成果供给侧结构改革，努力实现科技与经济深度融合。</w:t>
        <w:br/>
        <w:t xml:space="preserve">　　中国科学院科技促进发展局局长严庆说：“比如，进一步简政放权，不断完善政策环境。我们修订了《中国科学院对外投资管理办法》，将科技成果对外投资行为审批权交给院属单位，科技成果转化收益全部留归院属单位，院属单位还充分行使决策自主权，制定了各具特色的科技成果转移转化实施细则；通过调整科技成果资产评估备案工作审批权限，简化了管理程序，有助于提高工作效率，加快科技成果转化。此外，还加强知识产权运营，实现知识价值增值，以及促进创新链、产业链、资本链有效联动，支持科技企业发展；搭建境外科技成果转移转化平台，深度融入‘一带一路’建设等。”</w:t>
        <w:br/>
        <w:t xml:space="preserve">　　在这些有力政策和措施的推动下，科技成果转移转化取得了良好进展。据初步统计，通过科技成果转移转化使社会企业新增销售收入4080亿元，新增利税503亿元；院所投资企业实现营业收入4007亿元，净利润107亿元，创造就业岗位16万个。</w:t>
        <w:br/>
        <w:t xml:space="preserve">　　2018年，中科院继续面向国家重大需求、面向经济社会发展主战场，将“促进科技成果转移转化专项行动”重点工作，与美丽中国、健康中国、乡村振兴等国家重大战略部署紧密衔接，为决胜全面建成小康社会、加快建设社会主义现代化强国，提供坚强有力的科技支撑。</w:t>
        <w:br/>
        <w:t xml:space="preserve">　　本报北京2月5日电  （记者杨倩）国际学术期刊《自然通信》日前在线发表中国合成生物学首次实现灯盏花素人工细胞全合成的最新研究成果。灯盏花素为全国中医院急诊科必备药，该生物合成技术有望将灯盏花素从种植提取转为可持续工业化生产，成本数量级下降，为中药现代化提供新模式。</w:t>
        <w:br/>
        <w:t xml:space="preserve">　　灯盏花在云南民间用于治疗瘫痪已有上千年历史，灯盏花素为以灯盏乙素为主含少量灯盏甲素的混合物，具有扩张脑血管、降低脑血管阻力、增加脑血流量、改善微循环、对抗血小板聚集等作用，由于临床效果显著，灯盏花素被列为全国中医院急诊科治疗心脑血管疾病的必备中成药。</w:t>
        <w:br/>
        <w:t xml:space="preserve">　　中国科学院天津工业生物技术研究所与云南农业大学灯盏花团队合作，成功从灯盏花基因组中获得灯盏花素合成途径中的关键基因，并在酿酒酵母细胞中成功构建灯盏花素全合成的人工细胞工厂，实现了灯盏乙素、灯盏甲素的全合成。</w:t>
        <w:br/>
        <w:t xml:space="preserve">　　本报成都2月5日电  （记者张文）近日，利用沉浸式裸眼3D技术的艺术影装秀在成都上演，开启了2018年新春艺术周。此次艺术周以成都为主会场，将在成都、深圳、武汉等7个城市分别展出3—7天。</w:t>
        <w:br/>
        <w:t xml:space="preserve">　　据了解，此次艺术周将以沉浸式裸眼3D技术和全景体验等形式，为人们展示来自英、法和中国香港等地艺术家的画作，巨大的年兽、夸张的涂鸦等艺术创作将以西方美学的形式呈现古老中国的文化结晶。展览期间，游客均可免费观展，即使无法亲临现场，观众也能在互联网上通过全景云体验艺术周的魅力。</w:t>
        <w:br/>
        <w:t xml:space="preserve">　　最近几年，中国兴起了历史热。图书市场上出现了大量从各种视角重写中国史的著作，既有国人的著作，也有译著；既有传统式的史学著述，也有跨学科的历史研究，并且往往都出人意料地大卖。</w:t>
        <w:br/>
        <w:t xml:space="preserve">　　实际上，历史热这种现象在世界上屡见不鲜。</w:t>
        <w:br/>
        <w:t xml:space="preserve">　　揆诸世界历史，一个迅猛崛起的大国，其崛起本身会造成所处体系的深刻变迁，过去所习惯的参照系不再起作用，基于该参照系所设定的国家目标也会失效；于是，它无法再说清自己是谁、自己想要什么、自己与世界的关系是什么样，往往会陷入一种深刻的身份焦虑。</w:t>
        <w:br/>
        <w:t xml:space="preserve">　　它懵懵懂懂地走到了没有路标的十字路口，不知何去何从。在这个路口上，倘若它能够在对历史的深刻反思中，理解到自我与世界的内在一致性，就能够将其庞大的力量转化为对世界的建设性力量，并真正成就自己的世界历史地位；否则，它将浪费自己所经受的苦难。</w:t>
        <w:br/>
        <w:t xml:space="preserve">　　当下中国的身份焦虑，同样表达着对新的历史叙事的渴求。简单来说，就是要在历史和现实的双重意义上，回答“何谓中国”这一问题。这种新的历史叙事，直观上呈现为对过去的重述，实际上是在勾勒未来的方向；换言之，我们对于未来的想象，是基于对过去的理解。在这个意义上，历史学也包括未来学。</w:t>
        <w:br/>
        <w:t xml:space="preserve">　　一</w:t>
        <w:br/>
        <w:t xml:space="preserve">　　要构建新的历史叙事，首先需要理解中国历史的特殊性。中国历史最根本的特殊性在哪里呢？</w:t>
        <w:br/>
        <w:t xml:space="preserve">　　本书认为，它体现在两点上：一是中国是一个轴心文明的载体，一是中国的超大规模性。这两点以一种人们经常意识不到的方式相互发生作用，几乎中国历史的所有运动逻辑，理解当下中国问题的所有切入点，都在里面了。</w:t>
        <w:br/>
        <w:t xml:space="preserve">　　所谓轴心文明，即在公元前800年到公元前200年之间的轴心时代出现的原生性文明。中华文明自然也是其中之一。轴心文明的特征在于绝不自囿于一族一地，而是以天下为思考单位；对应地，轴心文明不会设定自己由某一特定族群担纲，它所关注的是文明本身是否获得普遍传播。轴心文明的这一特征，使得中国的精神结构中天然地有着普遍主义的冲动。在古代，它将自己理解为世界本身；在现代，它只有通过普遍主义才能理解自身与世界的关系。</w:t>
        <w:br/>
        <w:t xml:space="preserve">　　很多轴心文明在历史进程中都丧失了自己的政治载体，但东亚的轴心文明却一直有中华帝国作为其政治载体，并由此衍生出一系列历史效应。这种差异，从根本上来说，是因为中国的超大规模性。它首先体现在中原地区的庞大人口与财富上，其规模达到如此程度，以至于在第一个千禧年过后，朝廷（中央）所能低成本汲取的资源超过了任何地方性势力的抗拒能力，此后中国再无长时期的分裂现象出现，于是就有了国人经常说的“唯一历史未曾中断而延续至今的文明古国”。</w:t>
        <w:br/>
        <w:t xml:space="preserve">　　一个庞大政治体的自我维持，与轴心文明的存续，是两个独立的逻辑，并不能相互解释，但是相互有需求。这个文明在其覆盖区域内始终以一个独大强国作为其载体，该强国则始终可以将该文明作为自己的身份识别标志。而没有这种超大规模，独大强国就很难持续存在，若干彼此相持不下的地方强国，便不会以文明作为自己的根本身份标志，以免混同于其他国家。</w:t>
        <w:br/>
        <w:t xml:space="preserve">　　二</w:t>
        <w:br/>
        <w:t xml:space="preserve">　　中国轴心文明的担纲者在古代的流转，最终必会落在起自农牧过渡地带的人群身上。只有这个群体同时熟稔农耕与游牧两种体系的秩序奥秘，能够带来超越农牧之上的多元治理，使轴心文明所构想的“天下”，外化为一个现实的帝国秩序。</w:t>
        <w:br/>
        <w:t xml:space="preserve">　　中国数千年的历史呈现为一个多元体系的运动过程。这个体系包含着中原、草原、海洋、西域、高原等几种主要的自然社会经济生态区域，各区域间有着极为深刻的相互依赖、相互塑造的关系，以至于脱离开一方完全解释不了另一方。从商、周之际的封建制度转化为汉、唐之间的豪族社会，再到宋、清之间的古代平民社会，经过几轮的反复演化，这个多元共生体系最终落实为大清帝国，汉满蒙回藏等多元主体都被纳入统一的帝国之中。</w:t>
        <w:br/>
        <w:t xml:space="preserve">　　然而，新的困境也就此到来。它体现在物质和精神两个层面：</w:t>
        <w:br/>
        <w:t xml:space="preserve">　　就物质层面而言，在内部均衡带来的和平红利下，中国人口过度繁衍，劳动力变得廉价，使得以节省劳动力为目的的技术变迁无法出现，中国因此无法内生性地发展起工业经济；而不能从农业经济发展到工业经济，便无法吸纳过剩人口。中国于是自我锁死在一种低水平状态上，有学者称之为“内卷化”。中国因此便有陷入一种恶性循环的危险，因人口过剩导致流民四起而造成的治乱循环，可能会反复上演，这种循环无法像此前的历史那样，带来社会的结构性演化，而只是无变化的重复。</w:t>
        <w:br/>
        <w:t xml:space="preserve">　　就精神层面而言，朝廷能够从这个超大规模人口的社会中汲取到如此多的资源，以至于社会已不再拥有对于朝廷的制衡力量，轴心文明对其信徒所承诺的尊严，也将在政治压制下逐渐落空，轴心文明的精神内核有可能逐渐枯萎。</w:t>
        <w:br/>
        <w:t xml:space="preserve">　　除非有外部资源注入，才可能突破这两重困境。因此，中西之间的相遇便成为中国历史继续发展的一种内在需求，中国在内外压力的综合作用下，加入世界秩序，走上了现代转型的道路。</w:t>
        <w:br/>
        <w:t xml:space="preserve">　　三</w:t>
        <w:br/>
        <w:t xml:space="preserve">　　中国的超大规模过剩人口，只有在作为封闭经济体的情况下，才会导向“内卷化”的结果，一旦加入开放的世界经济体系，反倒会成为竞争优势。但是，想要把这种优势真正释放出来，中国必须先完成政治整合。这同样与中国的超大规模相关。</w:t>
        <w:br/>
        <w:t xml:space="preserve">　　中小规模的国家，仅仅靠外部世界的经济拉动，便可被整体拉动起来；中国倘若只靠外部拉动，仅会被局部性拉动起来，也就是诸如上海、广州之类的口岸地区。它们和纽约、伦敦的联系，会远远大于它们与几百里之外中国乡村的联系。这是19世纪后期、20世纪前中期的社会现实。它们与那些无法被拉动的庞大乡村，会形成深深的撕裂；这样的发展是不可持续的，一定会导致剧烈的内在冲突，乃至于内战，从而毁掉局部的发展成果。</w:t>
        <w:br/>
        <w:t xml:space="preserve">　　要实现政治整合，革命是绕不开的选项；革命的代价巨大，但超大规模国家要实现现代转型，几乎无法避免。这就有了20世纪中国跌宕起伏的革命历程。实现了自我整合的中国，在进入开放的世界经济体系后，其超大规模人口终于焕发出巨大的力量，成就了难以想象的经济奇迹，深刻地改变了全球的经贸结构，影响了全球政治秩序、经济秩序乃至社会秩序。</w:t>
        <w:br/>
        <w:t xml:space="preserve">　　正是在这个阶段，我们过往的许多精神资源，在解释这种新的格局时失效了；我们过往用来理解自身与世界所依凭的参照系，因中国的崛起而发生了巨大变化，也失效了。因此，重述中国的历史、重构我们的史观便成为一种必须，如此才能让我们获得精神自觉，把握住这一切过程的深刻历史含义，进而构想更加可期的未来。</w:t>
        <w:br/>
        <w:t xml:space="preserve">　　新的历史叙述，必须能够在空间意义上，发现中原与非中原地区的内在一致性，以及中国与世界的深刻联系；在时间意义上，发现古代历史与近现代历史在精神现象学逻辑上的内在一致性。如此，中华民族的潜力才能真正获得释放，并通往建设性的方向。</w:t>
        <w:br/>
        <w:t xml:space="preserve">　　现代世界秩序有三大构成要素，分别是海洋秩序、大陆秩序，以及海陆中介/枢纽秩序。中国内在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