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力。</w:t>
        <w:br/>
        <w:t xml:space="preserve">　　安徽省发改委改革创新处处长朱的娥表示，安徽省将通过平台建设、政策扶持、创新改革等举措，整体性、系统性推动创新发展，实现创新体系全链条的发展全贯通、支持全覆盖。</w:t>
        <w:br/>
        <w:t xml:space="preserve">　　安徽省社会科学院城乡经济研究所所长孔令刚表示，科研院所的科技创新，能够为地方的科技创新提供引领示范的作用，在科技成果转化方面，能够为地方经济提供强大的推动力。</w:t>
        <w:br/>
        <w:t xml:space="preserve">　　（综合本报记者吴勇、闫旭、姜鸿冰、马晨、乔栋、范昊天、贺林平、黄娴、徐靖报道）</w:t>
        <w:br/>
        <w:t xml:space="preserve">　　本报北京1月31日电  （记者杜海涛、陆娅楠）1月31日，国家统计局首次公布中国综合PMI（采购经理指数）产出指数。1月，综合PMI产出指数为54.6%，与上月持平，表明我国企业生产经营活动总体继续保持平稳较快的发展态势。</w:t>
        <w:br/>
        <w:t xml:space="preserve">　　综合PMI产出指数是PMI指标体系中反映当期全行业（制造业和非制造业）产出变化情况的综合指数，是世界通行的监测当期国家或地区总体经济发展生产景气状况的重要指标之一。</w:t>
        <w:br/>
        <w:t xml:space="preserve">　　综合PMI产出指数以50%作为经济强弱的分界点，高于50%时，表明经济总体扩张；低于50%，表明经济总体收缩。综合PMI产出指数与分界点的距离，表示扩张和收缩的程度。在实际应用中，可以通过综合PMI产出指数的变化情况监测宏观经济运行走势。</w:t>
        <w:br/>
        <w:t xml:space="preserve">　　当前，我国经济结构由工业主导向服务业主导加快转变，传统意义上的制造业和服务业之间的边界越来越模糊，尽管我国已经连续多年公布制造业采购经理指数和非制造业商务活动指数，但PMI指标体系还不够完善，尚缺少反映宏观经济总体变化的景气指标。</w:t>
        <w:br/>
        <w:t xml:space="preserve">　　国家统计局服务业调查中心负责人表示，编制并发布综合PMI产出指数弥补了制造业采购经理指数和非制造业商务活动指数仅能反映本行业领域发展状况的不足，为宏观经济监测提供了新的视角，也进一步丰富和完善了我国PMI指标体系。</w:t>
        <w:br/>
        <w:t xml:space="preserve">　　当日，中国物流与采购联合会、国家统计局服务业调查中心发布，1月份中国制造业PMI为51.3%，比上月下降0.3个百分点。从13个分项指数来看，同上月相比，产成品库存指数、原材料库存指数有所上升；其余11个指数均有所下降。</w:t>
        <w:br/>
        <w:t xml:space="preserve">　　国务院发展研究中心研究员张立群认为，1月份制造业PMI指数小幅下降，但继续保持51%以上区间，表明经济平稳增长态势明显。</w:t>
        <w:br/>
        <w:t xml:space="preserve">　　中国物流信息中心分析师陈中涛认为，1月份制造业PMI指数回落，有一定的季节因素影响。从历史同期来看，由于受节日因素影响，每年1月份多有下降。另外，由于人民币升值，出口波动明显，装备制造业、大中型企业生产活动有所下降。但受供给侧改革利好带动，传统行业活力增强，经济运行基本保持稳定。</w:t>
        <w:br/>
        <w:t xml:space="preserve">　　节日效应显现消费的基础支撑作用增强。调查显示，1月份消费品行业PMI为52.7%，较上月上升0.3个百分点。受节日带动，农副食品加工业、纺织业、木材加工及家具制造业PMI指数上升幅度超过1个百分点。</w:t>
        <w:br/>
        <w:t xml:space="preserve">　　市场整体供需形势基本平稳。1月份生产指数、新订单指数继续保持在53%左右相对较高水平。部分能源原材料供应紧张状况明显缓解。由于过剩产能加快出清，供需关系明显好转，传统的基础原材料行业活力增强，PMI指数整体水平较上月上升0.7个百分点，达到51%。</w:t>
        <w:br/>
        <w:t xml:space="preserve">　　另外，1月份中国非制造业商务活动指数达到55.3%，连续三个月实现环比上升，1月升幅0.3个百分点。</w:t>
        <w:br/>
        <w:t xml:space="preserve">　　中国物流与采购联合会副会长蔡进认为，1月份，服务业商务活动指数和新订单指数的双双上升，为今年我国经济向高质量发展迈进奠定了良好开局。服务消费与现代信息技术的融合发展，带来了消费方式的转变，将有效推进我国经济发展质量的提升。</w:t>
        <w:br/>
        <w:t xml:space="preserve">　　1月30日，杭州首家无人智慧餐厅亮相，整个用餐过程，不管是排队、点餐，还是取餐、结账，全靠消费者自助完成。</w:t>
        <w:br/>
        <w:t xml:space="preserve">　　餐厅位于杭州文三路，由中华老字号五芳斋和阿里巴巴旗下本地生活服务平台口碑共同打造，顾客到店后无需排队，即可打开支付宝或者口碑APP，自行扫码点餐。点餐过程中，系统还会根据你过往的消费偏好，对菜单自动排序，同时进行合适的优惠推荐。</w:t>
        <w:br/>
        <w:t xml:space="preserve">　　许康平摄（人民视觉）  </w:t>
        <w:br/>
        <w:t xml:space="preserve">　　本报北京1月31日电  （记者王观）国家外汇管理局31日公布的2017年12月我国国际货物和服务贸易数据显示，2017年12月，我国国际收支口径的国际货物和服务贸易收入16090亿元人民币，支出14009亿元，顺差2081亿元，较11月有所增加。</w:t>
        <w:br/>
        <w:t xml:space="preserve">　　其中，货物贸易收入14617亿元，支出11175亿元，顺差3442亿元；服务贸易收入1473亿元，支出2834亿元，逆差1361亿元。货物贸易顺差和服务贸易逆差较上月均有所扩大。</w:t>
        <w:br/>
        <w:t xml:space="preserve">　　本报广州1月31日电  （记者李刚）小微企业“贷款难”是一个老问题，但在广东，在持续的政策和市场作用之下，广东小微企业“贷款难”问题有了明显缓解。广东银监局日前通报，截至2017年末，广东银监局辖内银行业机构（不含深圳）小微企业贷款余额20990.60亿元，首次迈入2万亿关口，较年初增长14.82%。</w:t>
        <w:br/>
        <w:t xml:space="preserve">　　为帮助小微企业成长，广东银监局鼓励和推动银行机构根据困难小微企业的特点，先后推出无还本续贷、循环贷款、年审制贷款等创新产品，着力缓解小微企业资金周转问题。截至2017年末，广东辖内（除深圳）小微企业无还本续贷贷款余额823.47亿元，较年初增加151.38亿元，户数17794户，较年初增加3560户，较好地解决了小微企业“倒贷”（借助外部高成本搭桥资金续借贷款）问题。</w:t>
        <w:br/>
        <w:t xml:space="preserve">　　读书、游戏、点餐……微信小程序自去年1月9日正式上线以来，为近9亿微信用户提供了不少便利。记者调查发现，由于开通成本低，不需要写代码，微信平台上的用户也多，一些非法现金贷经过伪装后也以小程序的形式上线，继续违规从事贷款业务。</w:t>
        <w:br/>
        <w:t xml:space="preserve">　　2017年12月，银监会联合央行印发了《关于规范整顿“现金贷”业务的通知》，明确要求暂停新批设网络（互联网）小贷公司；暂停发放无特定场景依托、无指定用途的网络小额贷款。</w:t>
        <w:br/>
        <w:t xml:space="preserve">　　近日，记者在微信小程序中输入“贷款”进行搜索，随即有数十个相关小程序出现在列表中，如个人无抵押贷款、黑户新贷款、秒借贷款等，额度从200元到10万元不等，都号称“放款简单、快速”。</w:t>
        <w:br/>
        <w:t xml:space="preserve">　　记者对排列在前的30个关于贷款的小程序逐个排查发现，8个小程序所属企业主体在工商登记信息中有小额贷款经营资质，其余小程序基本都属违规经营贷款业务。</w:t>
        <w:br/>
        <w:t xml:space="preserve">　　而这些明确违规的现金贷小程序和合规网贷公司的小程序混杂在一起，用户很难分辨究竟哪个才是合法的。</w:t>
        <w:br/>
        <w:t xml:space="preserve">　　记者调查发现，一些借贷小程序多以个人名义申请开通，服务类目包含综合生活服务、公关、推广、市场调查、家政服务等。</w:t>
        <w:br/>
        <w:t xml:space="preserve">　　某知名现金贷公司业务负责人称，在监管新规出台后，一些非法小贷公司的网站被取缔，于是将目光投向小程序这样的平台。“因为开设成本低，也不需要写代码，微信平台上的用户也多，都愿意来这里搭建平台。之所以把类目设置得五花八门，主要是为了逃避监管审核。”</w:t>
        <w:br/>
        <w:t xml:space="preserve">　　函询微信官方后，记者被告知，针对不少成功“躲猫猫”上线的黑贷小程序，微信方面目前已经根据关键词策略清理了数百个恶意的“借贷”类小程序。目前，通过“贷款”“现金贷”等关键词已无法搜索到相关小程序，但能够通过“秒借”“立下”“黑户”等非法现金贷业内专用术语搜索到相关小程序。</w:t>
        <w:br/>
        <w:t xml:space="preserve">　　中国人民大学金融科技与互联网安全研究中心主任杨东教授表示，微信小程序作为新兴的开放型平台工具，具有强大的网络引流作用，对互联网领域中活动的个人与企业都有更强大的吸引力和影响力，因此平台的经营方应当承担起更大的监管责任，加强对开发者的约束。</w:t>
        <w:br/>
        <w:t xml:space="preserve">　　如何治理现身在微信小程序上的非法现金贷？北京大学法学院副院长薛军教授认为，一方面应尽快推动相关法律出台，补强规范效力；另一方面则应制定针对性更强的处罚措施，包括完善开发者实名制、建立多次违法主体“黑名单”、强化小程序核心内容审查技术手段，以及小程序分级分类制度。</w:t>
        <w:br/>
        <w:t xml:space="preserve">　　还有专家建议，微信小程序应提供更为便捷的“一键投诉”和高效的“投诉反馈”机制。微信方面表示，欢迎提供更多的线索，举报违规小程序，并希望与开发者、用户共同努力营造健康的小程序生态。</w:t>
        <w:br/>
        <w:t xml:space="preserve">　　（据新华社北京1月31日电  记者杰文津、颜之宏、吴剑锋、付敏）</w:t>
        <w:br/>
        <w:t xml:space="preserve">　　据新华社兰州1月31日电  （李杰、卫韦华）1月30日，甘肃省通过政府门户网站等渠道晒出首批群众和企业到政府“最多跑一次”办事的事项清单。自公布之日起，清单内的事项，只要材料齐全、符合法定受理条件，群众和企业到政府部门办事将实现“最多跑一次”。</w:t>
        <w:br/>
        <w:t xml:space="preserve">　　据该清单显示，首批公布事项涉及甘肃省财政厅、交通运输厅、林业厅、新闻出版广电局、食品药品监管局等10个部门，包括“医师、护士执业注册及导游证核发”等共126项政务服务事项。下一步，甘肃省将陆续公布包括行政审批、便民服务等更多的“最多跑一次”事项，同时要求各地各部门简化优化办事流程、实行网上办理和办理结果快递送达等方式，力求让群众和企业“少跑腿、不跑腿”。</w:t>
        <w:br/>
        <w:t xml:space="preserve">　　核心阅读</w:t>
        <w:br/>
        <w:t xml:space="preserve">　　工作担子重、级别升得慢、待遇难提高，很多基层干部面临这样的状况。如何更好地调动其工作积极性，激发干事创业活力，避免“干与不干一个样、干多干少一个样”？山东济南出台系列正向激励政策，从物质、精神等多方面入手，让“想干事、敢干事”的干部奋发有为、敢于担当。</w:t>
        <w:br/>
        <w:t xml:space="preserve">　　　　　 </w:t>
        <w:br/>
        <w:t xml:space="preserve">　　各级干部特别是基层一线干部是党和国家路线方针政策的具体执行者和落实者。如何更好地调动他们的工作积极性，激发干事创业活力，是当前亟待研究解决的课题。党的十九大报告指出，坚持严管和厚爱结合、激励和约束并重，完善干部考核评价机制，建立激励机制和容错纠错机制，旗帜鲜明为那些敢于担当、踏实做事、不谋私利的干部撑腰鼓劲。</w:t>
        <w:br/>
        <w:t xml:space="preserve">　　济南市委、市政府“为担当者担当，让实干者实惠”，抓住想干事、敢干事这两个关键点，健全正向激励机制，营造“只要想干，就有舞台；只要敢干，就有支撑；只要干成，就有奖励”的干事创业氛围，引导干部奋发有为。</w:t>
        <w:br/>
        <w:t xml:space="preserve">　　有为才有位</w:t>
        <w:br/>
        <w:t xml:space="preserve">　　实干得实惠</w:t>
        <w:br/>
        <w:t xml:space="preserve">　　调研发现多数干部期待正向激励</w:t>
        <w:br/>
        <w:t xml:space="preserve">　　济南一个县环保局的干部曾经这样“倒苦水”：去年上半年，他们先后接受了4轮5次环保督察，天天在岗，没有周末，有的同事一边揣着问责通知书，一边加班到现场去检查。“经常担心挨‘板子’，可‘帽子’和‘票子’还是老样子。”这位干部坦言。</w:t>
        <w:br/>
        <w:t xml:space="preserve">　　自济南确定“打造四个中心，建设现代泉城”中心任务以来，基层一线干部舍小家为大家，加班加点工作。济南市构建基层一线干部正向激励机制研究课题组调查显示，基层干部工作压力普遍较大，被调查者3个月内平均加班16.1次，最高甚至达到92次，即意味着天天加班。客观地说，他们的付出与回报并没有完全成正比。在调查中，基层一线干部表示，不怕苦、不怕累，但严管、问责的同时，更渴望得到相应的正向激励。</w:t>
        <w:br/>
        <w:t xml:space="preserve">　　与此同时，不同职务级别、不同任职岗位、不同教育水平的基层一线干部，对正向激励的需求存在明显差异。课题组调查显示，乡科级及以上干部对政治激励最为重视；乡科级以下干部则更在意经济上奖励。不少基层一线干部提出，虽然以前也有正向激励，但应进一步提高可操作性。比如考核奖励奖金分配与个人贡献没有直接挂钩，导致“获了奖反而犯了愁”。一位调研组成员指出，过去笼统地对基层干部搞“一个方子治百病”式的激励，难以达到精准激励的“点穴”效果。</w:t>
        <w:br/>
        <w:t xml:space="preserve">　　鼓励干事创业不能只靠“拍拍肩膀鼓鼓劲”，也不能只是“攥攥拳头喊加油”。据介绍，2016年以来，济南为营造“为担当者担当，让实干者实惠”的良好风气，出台了支持党员干部干事创业容错、纠错、防错和诬告陷害信访举报行为查核处理等4个实施办法。针对基层干部的需求，2017年下半年，济南出台《济南市干部正向激励实施办法（试行）》和《济南市基层一线干部正向激励实施细则（试行）》。“为干事创业提供更加有力的制度保障，具体化、可落实，才能真正让有作为的人有地位、实干的人得重用。”山东省委副书记、济南市委书记王文涛表示。</w:t>
        <w:br/>
        <w:t xml:space="preserve">　　政治上关注</w:t>
        <w:br/>
        <w:t xml:space="preserve">　　生活上关心</w:t>
        <w:br/>
        <w:t xml:space="preserve">　　优秀职工疗休养时间不计入年假</w:t>
        <w:br/>
        <w:t xml:space="preserve">　　《实施办法（试行）》和《实施细则（试行）》围绕“想干事”，突出强调“正向激励”，营造崇尚实干、实干光荣的浓厚氛围。</w:t>
        <w:br/>
        <w:t xml:space="preserve">　　《实施办法（试行）》规定，干部正向激励的方式主要是政治上关注、生活上关心、精神上鼓舞、经济上奖励。</w:t>
        <w:br/>
        <w:t xml:space="preserve">　　在政治上关注方面，济南破除论资排辈、平衡照顾观念，坚持“实在实干实绩”用人导向，坚持“四看一听”选任机制。比如，在《实施办法（试行）》中规定，对实绩突出的优秀年轻干部，大胆放手、早压担子，及时提供干事创业的舞台。在《实施细则（试行）》中规定，在招录公务员、事业单位工作人员时，拿出职位岗位，面向优秀社区党组织书记定向招考。</w:t>
        <w:br/>
        <w:t xml:space="preserve">　　同时，济南还完善干部工作调研巡视制度，对新提拔干部“回头看”，进行任职“后评估”，检验“含金量”。“对不适应岗位要求、打不开工作局面、影响经济社会发展、群众不满意或意见较大的干部，及时作出调整。”济南市委常委、组织部长李刚表示，通过培厚任能、任贤、任专的土壤，使能者上、庸者下、劣者汰成为常态和共识。</w:t>
        <w:br/>
        <w:t xml:space="preserve">　　而在生活上关心方面，记者梳理发现，济南主要从关心基层干部的个人生活、家庭生活以及衣食住行、老幼安康；关心基层一线干部的心理健康，做好负面情绪疏导；建立完善基层一线干部疗休养制度，扩大干部体检制度保障范围等方面关心爱护干部。比如，在《实施细则（试行）》中明确提出，要组织优秀基层干部参加一线职工疗休养，疗休养时间一般为5至7天，不计入年休假假期。每年组织村（社区）干部等一线同志进行健康查体等。</w:t>
        <w:br/>
        <w:t xml:space="preserve">　　精神上鼓舞</w:t>
        <w:br/>
        <w:t xml:space="preserve">　　经济上奖励</w:t>
        <w:br/>
        <w:t xml:space="preserve">　　基层干部有困难可约谈领导</w:t>
        <w:br/>
        <w:t xml:space="preserve">　　济南坚持在精神上鼓舞，让实干者有尊严得推崇。除了大力宣传干事创业先进典型，营造见贤思齐的氛围外，济南还实行“双向”约谈制度：除领导约谈一线职工之外，基层干部在遇到困难时可约谈领导，表达个人诉求。</w:t>
        <w:br/>
        <w:t xml:space="preserve">　　设立“英雄榜”。在“打造四个中心，建设现代泉城”中实绩突出的单位和个人，以市委、市政府名义通报表扬，符合记功条件的，给予记功奖励。</w:t>
        <w:br/>
        <w:t xml:space="preserve">　　宽容失误。按照“三个区分开来”的原则，济南规定，干部在贯彻落实党委和政府决策部署、推动重大项目重点工作时出现失误或错误时，只要出发点是为了深化体制机制改革、推动经济社会发展、保障和改善民生，符合法律法规和党纪政纪没有明令禁止的；大胆探索创新，先行先试出现无意过失等方面可容错免责。</w:t>
        <w:br/>
        <w:t xml:space="preserve">　　经认定符合容错免责情形的，在干部提拔任用、职级晋升、职称评聘方面不受影响；个人平时考核、年度考核、任期考核及评先树优、表彰奖励不受影响、不作负面评价；党代会代表、人大代表、政协委员和后备干部资格不受影响。</w:t>
        <w:br/>
        <w:t xml:space="preserve">　　济南还全面实行村（社区）工作事务清单管理制度，对各级人民政府确需委托村（社区）协助办理的事项，要“权随责走、费随事转”或通过政府购买服务的方式办理，为村（社区）减压松绑。</w:t>
        <w:br/>
        <w:t xml:space="preserve">　　济南坚持建立完善干部经济奖励制度，在政策范围内适当提高奖金标准，让想干事、干成事的人劳有所得、功有所奖。据介绍，济南一方面建立完善干部奖励制度。对在科学发展综合考核中获奖以及在“打造四个中心、建设现代泉城”专项考核中获奖的，发放奖金。奖金重点向基层一线和业绩突出人员倾斜，不搞普惠奖励或平衡照顾。另一方面充分考虑基层一线实际情况给予一定奖励。确保干部实现付出与收入对等。济南设立公务员“平时考核奖”，探索试行岗位聘用、绩效薪酬等制度或设立“工资奖励池”，结合日常考核，对镇街工作人员薪酬进行差异化分配。</w:t>
        <w:br/>
        <w:t xml:space="preserve">　　本报北京1月31日电  （记者徐隽）1月31日下午，最高人民法院召开全国法院扫黑除恶专项斗争电视电话会议，最高人民法院党组副书记、常务副院长沈德咏在会上强调，要坚持以习近平新时代中国特色社会主义思想为指导，坚决贯彻党中央关于扫黑除恶专项斗争的重大决策部署，依法严惩黑恶势力犯罪，切实保障人民安居乐业、社会安定有序、国家长治久安。</w:t>
        <w:br/>
        <w:t xml:space="preserve">　　会议指出，在全国开展扫黑除恶专项斗争，是以习近平同志为核心的党中央作出的重大决策，事关社会大局稳定和国家长治久安，要切实增强责任感、紧迫感，精心组织实施，确保扫黑除恶专项斗争取得实效。</w:t>
        <w:br/>
        <w:t xml:space="preserve">　　会议强调，坚持依法严惩方针，严厉打击黑恶势力犯罪。要坚持打早打小，始终保持高压态势，坚决铲除黑恶势力滋生蔓延土壤。要将人民群众反映最强烈的涉及威胁政治安全、把持基层政权、欺行霸市、操纵经营黄赌毒、跨国跨境等十类犯罪作为打击重点，确保打准、打狠。要坚持严格依法办案，以事实为根据、以法律为准绳，确保案件审判质量。要充分保障被告人的诉讼权利，确保每一起案件都经得起历史和法律的检验。要结合推进以审判为中心的刑事诉讼制度改革，严格执行“三项规程”，切实增强证据意识、程序意识，严格落实罪刑法定、疑罪从无、证据裁判、非法证据排除等法律原则和制度。</w:t>
        <w:br/>
        <w:t xml:space="preserve">　　本报北京1月31日电  （记者彭波）最高人民检察院日前下发《关于充分发挥检察职能作用，深入开展扫黑除恶专项斗争的通知》，对检察机关深入开展扫黑除恶专项斗争作出明确部署，要求各级检察机关增强责任感、使命感，敢于担当，全力投入扫黑除恶专项斗争。</w:t>
        <w:br/>
        <w:t xml:space="preserve">　　《通知》强调，要运用法治思维和法治方式，突出打击重点，全面履行检察职责，确保依法、准确、有力惩处黑恶势力犯罪。</w:t>
        <w:br/>
        <w:t xml:space="preserve">　　一要准确把握法律政策界限。坚持宽严相济刑事政策，对组织者、领导者、核心成员、骨干力量以及起重要作用的，要从严打击；对初犯、偶犯以及未成年人，依法从轻、减轻处理。正确把握“打早打小”与“打准打实”的关系，坚持实事求是，确保扫黑除恶打得准、打得狠。依法加大惩处“保护伞”的力度，对利用职务便利包庇黑社会性质组织的，应当从重惩处。正确适用法律，准确评价涉案犯罪组织所造成的社会危害，做到不枉不纵。二要突出打击重点。严厉打击“村霸”、宗族恶势力、“保护伞”以及“软暴力”等犯罪。因地制宜、分类施策，结合本地实际，聚焦涉黑涉恶突出的重点地区、行业、领域，把打击锋芒对准人民群众反映最强烈的黑恶势力犯罪。三要严格依法办案。切实把好案件事实关、证据关、程序关和法律适用关，确保把每起案件都办成经得起法律和历史检验的铁案。</w:t>
        <w:br/>
        <w:t xml:space="preserve">　　《通知》指出，要完善工作机制，加强调研指导，强化部门联动，形成扫黑除恶强大合力。</w:t>
        <w:br/>
        <w:t xml:space="preserve">　　1月31日，广西柳州市三江侗族自治县良口乡和里村举行“月也”活动，来自附近村屯的侗族群众齐聚一堂，以吹芦笙、对歌、多耶、唱侗戏、百家宴等民俗活动喜迎新春。</w:t>
        <w:br/>
        <w:t xml:space="preserve">　　“月也”意为侗族村寨间集体做客，是侗乡的一种传统社交习俗。</w:t>
        <w:br/>
        <w:t xml:space="preserve">　　庞革平  吴练勋摄影报道  </w:t>
        <w:br/>
        <w:t xml:space="preserve">　　本报北京1月31日电  （记者丁怡婷）记者从国家安监总局获悉：国家安监总局、财政部日前联合修订印发《安全生产领域举报奖励办法》，扩大了安全生产领域举报奖励范围，提高了奖励额度，最高可达30万元。</w:t>
        <w:br/>
        <w:t xml:space="preserve">　　联合修订的奖励办法，较之原办法，主要突出三方面：</w:t>
        <w:br/>
        <w:t xml:space="preserve">　　一是扩大了举报奖励范围。在原办法确定的煤矿、非煤矿山、道路交通、危险化学品、烟花爆竹、冶金机械等行业领域的基础上，将安全生产举报奖励范围扩大到所有行业领域的重大事故隐患和安全生产违法行为。</w:t>
        <w:br/>
        <w:t xml:space="preserve">　　二是提高了奖励额度。举报重大事故隐患和违法生产经营建设行为的奖励由原办法的1000元至1万元，提高到3000元至30万元；举报瞒报谎报事故的奖励由原办法的3000元至3万元，提高到最高30万元。</w:t>
        <w:br/>
        <w:t xml:space="preserve">　　三是增强了奖励的可操作性。对举报重大事故隐患、违法生产经营建设的，奖励按照行政处罚金额的15%计算；对举报瞒报、谎报事故的，按照最终确认事故等级和查实举报的瞒报谎报死亡人数给予奖励。一般事故、较大事故、重大事故、特别重大事故分别按每查实瞒报谎报1人奖励3万元、4万元、5万元、6万元计算。最高奖励不超过30万元。</w:t>
        <w:br/>
        <w:t xml:space="preserve">　　据介绍，举报人可以通过安全生产举报投诉特服电话“12350”，或者以书信、电子邮件、传真、走访等方式举报重大事故隐患和安全生产违法行为。</w:t>
        <w:br/>
        <w:t xml:space="preserve">　　广东肇庆市某外资鞋材公司因经营不善，截至2017年底，拖欠40多名员工工资共计25万多元。时值年末，工人们等着领工资返乡过年，无奈之下，将该公司起诉到肇庆市端州区人民法院。</w:t>
        <w:br/>
        <w:t xml:space="preserve">　　法官在开庭前联合端州区劳动仲裁委、区劳动保障监察大队约谈该公司法定代表人黄某。通过耐心释法明理，黄某认识到错误并主动支付了所有欠薪。40多名劳动者在去年12月22日前已全部拿到工资并返乡。</w:t>
        <w:br/>
        <w:t xml:space="preserve">　　广东是经济大省、用工大省，也是劳动纠纷大省。近4年来，全省法院每年受理的一审劳动争议案件数均在4万宗以上，占全国一审劳动争议案件数近1/10。在广东，劳动争议案件主要集中在经济发达的珠三角地区，仅广州、深圳、佛山、东莞4地收案量即占全省七成，大部分劳动争议涉及追索工资、加班费等内容。从法院办案情况看，欠薪从单一逃匿逃避支付向多样、隐蔽的方式发展，追讨打击难度增大。</w:t>
        <w:br/>
        <w:t xml:space="preserve">　　对此，各级法院一手严厉惩治恶意欠薪，对于进入审判阶段恶意欠薪的刑事犯罪案件，依法快审快判；一手加大财产保全和执行追缴力度，防止因企业资产流失导致劳动者权益受损。</w:t>
        <w:br/>
        <w:t xml:space="preserve">　　自2015年4月起，广州某公司法定代表人何某在有能力支付公司员工劳动报酬的情况下，先后多次拖欠陈某等69名员工的劳动报酬。广州市越秀区人力资源和社会保障局多次责令何某支付所拖欠的员工劳动报酬，何某仍拒不支付，还变更个人住址及联系方式。归案后，何某一直未能向司法机关提供公司的会计凭证、会计账簿及财务会计报告。越秀区人民法院以拒不支付劳动报酬罪判处何某有期徒刑一年，并处罚金13万元。</w:t>
        <w:br/>
        <w:t xml:space="preserve">　　2017年，广东全省法院共审结拒不支付劳动报酬刑事一审案件253件，涉及被告人269名，判处有期徒刑122人，占犯罪人数的59.51%。</w:t>
        <w:br/>
        <w:t xml:space="preserve">　　刑事判决震慑了恶意欠薪，但要真正为劳动者追回欠薪，还须加大执行力度。广东各级法院利用网络查控系统，全面查控被执行人的银行存款、房产、车辆、股权等财产信息和逃避执行的被执行人下落；采取“凌晨执行”“悬赏执行”“蹲点守候”等非常手段以及集中查控、集中处置、集中给付执行款等多种方式，努力提升执行效果。</w:t>
        <w:br/>
        <w:t xml:space="preserve">　　让劳动者少受欠薪之苦，形成防范、治理欠薪的长效机制，不能靠法院一家单打独斗。2017年4月，广东省法院会同省人社厅、省总工会、省工商联、省企业联合会等单位，联合发布《关于进一步加强调裁诉衔接 多元化解劳资纠纷的意见》，确立了源头化解、沟通协调、多元共建等工作原则，着力建立劳动纠纷化解沟通联动机制。</w:t>
        <w:br/>
        <w:t xml:space="preserve">　　据介绍，2017年广东全省法院一审劳动争议收案40883宗，尽管仍处于高位，但2014年至2017年，这一数字年均减少了约3000宗。“随着多元共建、综合施策，审判执行成效明显，劳动争议案件呈递减趋势。”广东省高级人民法院副院长谭玲表示。</w:t>
        <w:br/>
        <w:t xml:space="preserve">　　本报武汉1月31日电  （记者程远州）携带未满12周岁未成年人乘车的，不得安排其乘坐副驾驶座位，不得将未满8周岁未成年人单独留在车内；学校应建立校园欺凌的预防、处理制度和应急处置预案，公布举报、投诉电话；未成年人担任视频直播网站主播需征得父母同意……2月1日，新修订的《武汉市未成年人保护条例》（下称《条例》）正式施行，其中不少新规引起社会广泛关注。</w:t>
        <w:br/>
        <w:t xml:space="preserve">　　据介绍，为适应未成年人成长面临的新形势，《条例》针对诸如校园欺凌、未成年人沉迷网络、监护不当和监护缺失以及特殊未成年人的保护等问题作出应对，并将武汉市在未成年人保护方面积累的经验，如“12355”热线维权、未成年人保护工作队伍建设、校园安全、外来务工人员子女就学等方面的做法，通过修订法规予以吸纳固定，进一步提升未成年人保护工作的法治化水平。</w:t>
        <w:br/>
        <w:t xml:space="preserve">　　本报文昌1月31日电  （记者闫旭）1月28日至31日，中、美、俄三国航天员、航天科学家、太空医学专家学者出席了在海南文昌举办的“太空技术和平利用国际研讨会”。大会以“和平利用太空技术，发展人类健康医疗事业”为主题，交流太空技术和平利用方面的经验，重点研讨了太空技术运用于人类生命健康、医疗、医药、生物链的方法和路径，为搭建中、美、俄三国在航天领域国际合作交流的新平台作了一次有益尝试。在本次国际研讨会上，参加研讨会的中、美、俄专家学者带来了太空技术和平利用在健康医疗和其他方面的研究成果。与会各方共同倡议：三国和其他致力于太空技术发展并愿意促进太空技术和平利用的国家政府、组织和企业，共同发起2019年在中国海南文昌举办首届“世界太空大会”；共同参与推动海南“世界太空城”“海岸国际金融中心”和“太空医科大学”三个项目。</w:t>
        <w:br/>
        <w:t xml:space="preserve">　　本报北京1月31日电  （记者喻思南）中国互联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