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院校联合组成“中国艺创联盟”打造的《中国艺考》第二季，展示了艺考生的艰辛追求和青春梦想；《少年工匠》春节特别节目探讨中国传统文化的传承和未来中国制造的发展，以及职业教育在其中起到的不可忽视的作用。除夕当晚，中国教育电视台将以“纪录片过大年”为主题连续播出4集，记录普通中国人的团圆、亲情、梦想、希望，用有温度和质感的记录，展现正在行进中的中国最有代表性的社会风貌、充满活力的生活故事，让观众看到身边的生活和生活中的自己。</w:t>
        <w:br/>
        <w:t xml:space="preserve">　　此外，春节期间，中国教育电视台还将每天播出国学系列动画片《弟子规》，让博大的传统智慧和国学知识给孩子的成长以温暖的指引。</w:t>
        <w:br/>
        <w:t xml:space="preserve">　　夜晚的长治，待在屋里也能感到丝丝寒意。虽然冷，却有一群人披着毛毯，围坐在电脑边，你一言我一语，讨论着学习十九大精神材料如何排版。</w:t>
        <w:br/>
        <w:t xml:space="preserve">　　这群人一不挣工资，二不计辛苦，且平均年龄65岁，他们就是山西省长治市老干部宣讲团的成员，20多年义务将党的声音传播给群众。“岗位退休，共产党员职责不能退休；年龄大了，共产党员标准不能降低。”宣讲团团长姜华说。</w:t>
        <w:br/>
        <w:t xml:space="preserve">　　十九大闭幕后，不到半个月的时间里，宣讲团就组织成员为基层百姓举行了27场宣讲，效果明显。</w:t>
        <w:br/>
        <w:t xml:space="preserve">　　紫金街道八一社区的老居委会主任王福娥，听了宣讲团的报告后说：“宣讲团讲了十九大精神的‘十个新’，讲得特别到位，居民们听了以后都拍手叫好！”</w:t>
        <w:br/>
        <w:t xml:space="preserve">　　为了保证传播效果，这些老干部的包中常备草珊瑚含片。71岁的宣讲团员王春先笑着说：“得保证声音洪亮，大家才能听清楚啊！”他们不拘泥于以往“套路”：核桃树下、大队院里、会议室里，坐着可以讲，站着也可以讲；可以原原本本地讲述，也能用梆子调给唱出来……80多岁高龄的张若霞是抗美援朝女战士，多年来她把自己的家当作课堂，给慕名前来学习的青少年讲革命传统。</w:t>
        <w:br/>
        <w:t xml:space="preserve">　　每年清明节，宣讲团成员冯振山、李朝辉等老同志，都要到太行太岳烈士陵园，给前来缅怀革命先烈的团体和个人宣讲革命故事。习近平总书记视察山西发表重要讲话后，老干部宣讲团马上行动，把最新的讲话精神汇编成册、宣讲出去，他们也因此获得“宣讲轻骑兵”的美誉。</w:t>
        <w:br/>
        <w:t xml:space="preserve">　　认真准备宣讲的背后，是老干部们毫无怨言的付出。在市里，他们经常骑自行车或自费坐公交去宣讲；去村里，他们也不给基层单位添麻烦，“最多喝些村里的水”。每一期学习资料编印出来后，老人们都亲手送到数百家基层单位，风雨无阻。</w:t>
        <w:br/>
        <w:t xml:space="preserve">　　重庆江津中山古镇“千米长宴”近日开席，800席长宴摆满古镇老街，吸引游客前来体验民俗，感受浓浓年味。席间，身穿红褂的“传菜员”头顶放满菜肴的木托盘穿梭于宴席中送菜，这项称为“打盆端菜”的民间绝活，吸引了不少游客。</w:t>
        <w:br/>
        <w:t xml:space="preserve">　　李  坚  刘  祎摄影报道  </w:t>
        <w:br/>
        <w:t xml:space="preserve">　　新华社北京2月6日电  民革中央6日在京举行2018年迎春茶话会。全国人大常委会副委员长、民革中央主席万鄂湘在讲话中表示，真诚呼吁两岸同胞、海外侨胞，携手并肩，齐心协力，共同维护台海和平稳定，共同推动两岸关系和平发展，不断推进祖国和平统一进程。</w:t>
        <w:br/>
        <w:t xml:space="preserve">　　万鄂湘说，2017年是中国特色社会主义事业取得伟大成就的一年。民革全党认真学习贯彻习近平总书记系列重要讲话精神，各项工作都取得了新成绩，开创了新局面。民革第十三次全国代表大会暨民革成立70周年纪念大会胜利召开，顺利实现政治交接，全面开启了民革事业发展的新征程。面对两岸关系更加复杂严峻的形势，民革深入贯彻习近平总书记对台工作重要思想，牢牢把握两岸关系发展大政方针，扎实稳步推进各项对台交流工作。</w:t>
        <w:br/>
        <w:t xml:space="preserve">　　民革中央常务副主席郑建邦主持茶话会。</w:t>
        <w:br/>
        <w:t xml:space="preserve">　　国产大飞机筑梦蓝天、“复兴号”完美首发、“蓝鲸一号”成功试采可燃冰——2017年这些闪亮的成就，有着共同的标志：国企创造。这一过程中，民企也未缺席，融入供应链、提供零配件，民企与国企一道分享“中国骄傲”的荣光。</w:t>
        <w:br/>
        <w:t xml:space="preserve">　　被称作中国“新四大发明”的高铁、移动支付、共享单车、网购，除高铁外的3项，都是民营企业的创新之举。新业态快速崛起的背后，离不开通信国企从3G突破到4G并跑的有力支撑。快速普及的网络基础设施，为“互联网+”提供了丰沃土壤。</w:t>
        <w:br/>
        <w:t xml:space="preserve">　　“毫不动摇巩固和发展公有制经济，毫不动摇鼓励、支持、引导非公有制经济发展”，这一党中央始终坚持的重大原则，正成为社会主义市场经济建设中的壮丽实践。国企民企，竞争合作、优势互补、互利共赢，共同为中国经济加油。</w:t>
        <w:br/>
        <w:t xml:space="preserve">　　国企民企，汇聚中国经济巨大能量</w:t>
        <w:br/>
        <w:t xml:space="preserve">　　一花独放不是春，百花齐放春满园。改革开放以来，我国逐步确立公有制为主体、多种所有制经济共同发展的基本经济制度，充分调动各方积极性，共同铸就中国经济的辉煌。</w:t>
        <w:br/>
        <w:t xml:space="preserve">　　谋发展、促转型、增活力，国有企业作为中国特色社会主义的重要物质基础和政治基础，中流砥柱作用日益突出。</w:t>
        <w:br/>
        <w:t xml:space="preserve">　　规模更大——到2017年底，全国国资监管系统企业资产总额达到160.5万亿元，比2012年底增长约一倍，上缴税费总额占全国财政收入1/4，工业增加值占全国GDP的1/5。其中，中央企业2017年实现利润1.4万亿元，创历史最好水平，98家中央企业中利润总额过百亿元的达到41家。</w:t>
        <w:br/>
        <w:t xml:space="preserve">　　竞争力更强——高扬自主创新的旗帜，国有企业在载人航天、探月工程、深海探测、高速铁路、特高压输变电、第四代移动通信等领域取得了一批具有世界先进水平的重大科技创新成果，彰显了国之重器的实力与担当。2017年进入《财富》世界500强的企业，中国的国有企业达67家，并在前五名里占据3席。国有企业以骄人的业绩，演绎着“大象快跑的故事”。</w:t>
        <w:br/>
        <w:t xml:space="preserve">　　肌体更健康——国有企业以建立健全产权清晰、权责明确、政企分开、管理科学的现代企业制度为方向，深化改革，治理结构更完善。到2017年底，中央企业集团层面基本完成公司制改革，各级子企业改制面达到97.8%，绝大部分中央企业建立起规范的董事会。</w:t>
        <w:br/>
        <w:t xml:space="preserve">　　“国有企业的户数在减少，但国有企业的活力、控制力、影响力一直在提高，已成长为壮大国家综合实力、保障经济稳中向好的重要力量。国有企业的出色表现充分说明，只要持之以恒地深化改革，坚定不移做强做优做大，国有企业完全可以搞好。”国务院国资委主任肖亚庆说。</w:t>
        <w:br/>
        <w:t xml:space="preserve">　　如果把我国基本经济制度比作人的躯干，公有制经济如同骨骼，非公有制经济好似肌肉，二者共同汇聚起中国经济的巨大能量。</w:t>
        <w:br/>
        <w:t xml:space="preserve">　　民营经济等非公有制经济由小到大、由弱到强，成为推动中国经济转型升级的有生力量。</w:t>
        <w:br/>
        <w:t xml:space="preserve">　　发展势头更好——从党的十八大提出“保证各种所有制经济依法平等使用生产要素、公平参与市场竞争、同等受到法律保护”，到十八届三中全会提出“支持非公有制经济健康发展”，再到十九大明确“支持民营企业发展，激发各类市场主体活力”，民营企业转型发展的信心更足，不断迈上新台阶。据统计，目前民营经济占GDP比重、税收占全国税收比重、民间投资占全社会固定资产投资比重，都已超过一半。华为、阿里、联想、小米……一批民营企业崛起为世界级企业，唱响中国品牌。</w:t>
        <w:br/>
        <w:t xml:space="preserve">　　活力创造力不断释放——打破各种“玻璃门”“弹簧门”“旋转门”，出台“鼓励社会投资39条”“促进民间投资26条”等政策，构建亲清新型政商关系，为民营经济营造出更加公平、开放、宽松的环境，创新创造的源泉充分喷涌。目前，我国约70%的技术创新、65%的国内发明专利和80%以上的新产品来自中小企业，其中95%以上是非公有制企业。过去3年，全国平均每天新增市场主体超过4万家，其中绝大多数是民营企业。</w:t>
        <w:br/>
        <w:t xml:space="preserve">　　千帆竞发，百舸争流。“国有”“民营”各领风骚，充分发挥优势，促进了经济社会发展，增强了综合国力，提高了人民生活水平。</w:t>
        <w:br/>
        <w:t xml:space="preserve">　　混合所有制改革，改出融合发展新优势</w:t>
        <w:br/>
        <w:t xml:space="preserve">　　混合所有制改革，是新一轮国企改革的一大亮点。“混改就是打破企业在所有制身份上的纠结和界限，让各种所有制资本取长补短、相互促进。”国务院国资委副秘书长彭华岗说。</w:t>
        <w:br/>
        <w:t xml:space="preserve">　　2017年8月20日，中国联通混合所有制改革方案一经发布，立刻成为资本市场备受瞩目的“头条”。联通混改作为首例央企集团层面的混改、首例垄断领域央企混改，具有里程碑意义。混改后，联通集团对中国联通的持股比例从原来的63.7%降到36.7%，仍是大股东但不再处于绝对控股地位，腾讯、百度、阿里、苏宁等民企成为新的战略投资者。</w:t>
        <w:br/>
        <w:t xml:space="preserve">　　积极发展混合所有制经济，是当前完善基本经济制度的着力点。截至2017年底，我国已有超过2/3的中央企业引进了各类社会资本，半数以上的国有资本集中在公众化的上市公司，3家中央企业成为集团层面的混合所有制企业，中央企业二级子企业以下混合所有制企业户数占比超过50%，并逐级提高。</w:t>
        <w:br/>
        <w:t xml:space="preserve">　　国企民企以混改“联姻”，改出了国有资本、非公资本融合发展的新优势。</w:t>
        <w:br/>
        <w:t xml:space="preserve">　　改善了治理结构——良好的公司治理是混合所有制企业的基石。国机集团所属中国电器院混改后，外部董事占到董事会成员2/3，广泛代表了各方股东利益，形成了外部董事、内部董事和职工董事相互制约的机制。建立在混合所有制基础上的公司法人治理结构，各类所有制股东按照股东权益平等参与企业决策，不同所有制企业受到同等约束监督，从此告别一股独大，有效防止内部人控制。</w:t>
        <w:br/>
        <w:t xml:space="preserve">　　拓展了业务领域——混改后，一些重要领域逐步面向社会资本开放，电力、石油、天然气、铁路、民航、电信、军工等重点行业的混改风生水起。据统计，自2016年混合所有制改革启动以来，已组织开展3批50家企业试点，实现重点领域混改全覆盖，为非公经济发展提供了更大空间。国有企业也借助混改迈入新产业、试水新业态。兵器工业集团所属内蒙古一机集团依托军民融合上市平台，引入杉杉股份等多家民营企业，投资新能源汽车、新材料制造，老国企焕发新活力。</w:t>
        <w:br/>
        <w:t xml:space="preserve">　　形成了溢出效应——混改不是为混而混，最终要看企业实力是否得到提升。中国建材与民营企业深度合作，以近400亿元国有资本吸引1000多亿元社会资本，撬动近6000亿元总资产，在新兴产业开展集成创新，扩大高端供给，逐步成长为全球建材制造业领军企业。</w:t>
        <w:br/>
        <w:t xml:space="preserve">　　“混改不是谁控制谁、谁吃掉谁，而是以混改完善现代企业制度、提高资本运行效率，这也是培育具有全球竞争力的世界一流企业的重要途径。”彭华岗表示。</w:t>
        <w:br/>
        <w:t xml:space="preserve">　　深度合作，在建设现代化经济体系中迈向双赢</w:t>
        <w:br/>
        <w:t xml:space="preserve">　　国企与民企，有优胜劣汰的竞争，更有携手共赢的合作。</w:t>
        <w:br/>
        <w:t xml:space="preserve">　　携手促转型，国企民企共同打造优势产业、迈向中高端。中车集团优化产业链，吸引一大批民营企业、中小企业参与到高铁的供应体系中，5年来为民营企业创造近600亿元市场空间，成为推动产业转型升级、带动行业内民营企业发展的“领头雁”。</w:t>
        <w:br/>
        <w:t xml:space="preserve">　　携手谋创新，一项项新技术在国企民企的合力推动下快速孵化。目前，中央企业牵头产业技术创新战略联盟159个，涌现出航天云网、中航爱创客、欧冶云商等一批代表性成果，有效汇聚了全社会创新资源。</w:t>
        <w:br/>
        <w:t xml:space="preserve">　　携手走出去，国企民企在国际市场打造出一张张闪光的中国名片。山东如意集团与中国华能山东公司共同投资建设的巴基斯坦萨希瓦尔煤电项目，成为巴基斯坦国内单机容量最大、技术最先进、环保指标最优的煤电项目。这样的共赢之举正越来越多地在世界各地呈现。</w:t>
        <w:br/>
        <w:t xml:space="preserve">　　据不完全统计，5年来，仅中央企业与民营企业5000万元规模以上合作项目已超过1000项，涉及总金额达2万亿元以上。</w:t>
        <w:br/>
        <w:t xml:space="preserve">　　“在中国经济快速发展的进程中，公有制经济与非公有制经济、国有企业与非国有企业从来不是对立的关系，更多的是相互促进、共同发展。”国资委研究中心研究员许保利说。</w:t>
        <w:br/>
        <w:t xml:space="preserve">　　看布局，国企多数是资本密集、技术密集型的大企业，在经济稳定、技术创新、维护安全等方面发挥主导作用，为民企的发展创造了有利的宏观条件；民企主要分布在服务业、制造业等一般竞争性领域，为国企的改革发展提供了有效的竞争环境、广阔的市场需求和全面的分工协作，二者彼此促进、相得益彰。看市场，我国市场规模日益扩大，需求持续旺盛，国企民企之间不是“谁进谁退”“此消彼长”，而是共同做大蛋糕，你进我也进。“走出去”更为中国企业提供了宽广的舞台，拓展了可持续增长的利润空间。</w:t>
        <w:br/>
        <w:t xml:space="preserve">　　我国经济已由高速增长阶段转向高质量发展阶段。建设现代化经济体系，开启高质量发展，必须调动国有企业和包括民营企业在内的其他各类所有制企业的活力和创造力。</w:t>
        <w:br/>
        <w:t xml:space="preserve">　　“建设现代化经济体系，国企民企一个都不能少。”许保利表示，建设现代化经济体系，不论是国有企业还是民营企业，既有前所未有的机遇，也有无比严峻的挑战，既有狭路相逢的勇者闯关，更有大展身手的空间舞台。特别是在全球化背景下，中国企业面临的竞争是全球性的竞争，国企民企都要提振精神、苦练内功、打造核心竞争力。“国企民企齐头并进，经济总量更大、发展质量更优，人民也将从中得到更多实惠。这是坚持基本经济制度的根本要求，也是新时代中国经济迈向高质量发展的呼唤。”</w:t>
        <w:br/>
        <w:t xml:space="preserve">　　改革开放以来的实践表明，“国有”与“民营”统一于中国特色社会主义建设进程中，为经济发展注入蓬勃生机，共同构筑了经济巨龙腾飞的现实基础。坚持“两个毫不动摇”，充分发挥“国有”“民营”不可替代的重要作用，社会主义制度优越性将不断展现，社会主义市场经济体制的强大生命力将不断绽放。</w:t>
        <w:br/>
        <w:t xml:space="preserve">　　新华社北京2月6日电  （记者赵博）由台盟中央、全国台联共同主办的“2018年在京台胞新春同乐会”6日在北京台湾会馆举行。在京定居台胞、在京投资的台湾企业界人士、在京求学的台湾学生近300人欢聚一堂，同贺新春佳节，共话乡情亲情。</w:t>
        <w:br/>
        <w:t xml:space="preserve">　　台盟中央副主席杨健代表主办单位向在京台胞致以诚挚问候。他说，过去一年，台海关系形势复杂严峻，在两岸同胞共同努力下，经济交流合作持续深化，台湾同胞来大陆587万人次、两岸贸易额1993.9亿美元，创历史新高；大陆出台几十项政策措施，进一步为台胞求学、就业、旅游创造有利条件。</w:t>
        <w:br/>
        <w:t xml:space="preserve">　　同乐会上，台盟中央、全国台联、台盟北京市委和北京市台联的机关干部以及在京台胞台商台生代表表演了女生二重唱《南海姑娘》、舞蹈《草原上的月亮》、歌曲《爱拼才会赢》、诗朗诵《乡愁》等精彩节目，现场气氛欢乐热烈。</w:t>
        <w:br/>
        <w:t xml:space="preserve">　　全国政协副主席、台盟中央主席林文漪出席同乐会。</w:t>
        <w:br/>
        <w:t xml:space="preserve">　　本报福州2月6日电  （记者何璐）2018年，福建将持续推出科技特派员精准服务“三农”发展新机制，力争实现科技特派员覆盖全省所有乡镇，为加快乡村振兴注入科技力量。</w:t>
        <w:br/>
        <w:t xml:space="preserve">　　2017年，福建共选认省级科技特派员1358名。这些科技特派员实施科技开发项目643项，推广新技术942项，引进新品种1254项，服务全省农民15.7万户，带动7.8万户农民实现增收，有效带动建档立卡贫困户3753户脱贫致富。</w:t>
        <w:br/>
        <w:t xml:space="preserve">　　据悉，福建今后将着力从省外高校、院所吸引一批技术水平高、能解决实际问题的科技人员到基层创新创业。同时，推动科技特派员“跨界”发展，推动科技特派员工作向二、三产业拓展。</w:t>
        <w:br/>
        <w:t xml:space="preserve">　　核心阅读</w:t>
        <w:br/>
        <w:t xml:space="preserve">　　世界总体跨度最长、钢结构桥体最长、海底沉管隧道最长跨海大桥，世界公路建设史上技术最复杂、施工难度最高、工程规模最庞大桥梁——2月6日，港珠澳大桥主体工程验收交付，三地距离“半小时生活圈”仅一步之遥。</w:t>
        <w:br/>
        <w:t xml:space="preserve">　　随着主体工程验收交付，未来大桥运营管理面临什么挑战，能给粤港澳大湾区带来哪些便利？带着这些问题，记者进行了采访。</w:t>
        <w:br/>
        <w:t xml:space="preserve">　　</w:t>
        <w:br/>
        <w:t xml:space="preserve">　　2月6日，港珠澳大桥主体工程交工验收会议在广东珠海举行，来自港珠澳三地职能部门、业主单位及主体工程各参建单位等43家单位150多名专家及各方代表见证了这一历史性时刻。经过一天的实地考察和深入讨论，与会代表一致认为，港珠澳大桥主体工程质量保证体系完善，符合设计及技术规范要求，工序控制严格，工程质量可靠，具备通车试运营条件，同意交付使用。</w:t>
        <w:br/>
        <w:t xml:space="preserve">　　这标志着举世瞩目的港珠澳大桥主体工程验收交付并即将投入使用。</w:t>
        <w:br/>
        <w:t xml:space="preserve">　　7年奋战，世纪工程搬进工厂</w:t>
        <w:br/>
        <w:t xml:space="preserve">　　港珠澳大桥总长55公里，是连接香港、珠海和澳门的超大型跨海通道，也是迄今世界最长跨海大桥，被誉为世界桥梁建设史上的“王冠”。作为世界级的超级工程，港珠澳大桥实现了“六个最”：世界总体跨度最长、钢结构桥体最长、海底沉管隧道最长跨海大桥，也是世界公路建设史上技术最复杂、施工难度最高、工程规模最庞大桥梁。</w:t>
        <w:br/>
        <w:t xml:space="preserve">　　本次验收交付的主体工程集桥、岛、隧于一体，包含九洲、江海和青州三座通航斜拉桥，约20公里的非通航孔桥，6.7公里的海底隧道，以及连接桥梁和隧道的东西两座人工岛，共约29.6公里，总投资约480亿元。主体工程于2011年1月开工，经过大桥建设者7年的砥砺奋战，于2017年12月31日基本建成，全线亮灯。</w:t>
        <w:br/>
        <w:t xml:space="preserve">　　出席交工验收的代表们前往九洲桥、江海桥、青州桥、海底隧道和东人工岛实地察看工程现场，了解工程外观质量。在此之前，大桥通过了20多天的包括荷载试验在内的各种实验和测试，试验人员通过两辆满载共70吨的载重卡车，以每小时10至60公里不等的时速在大桥上行驶，以测试大桥通车条件下所产生的实际承载能力、晃动、振幅、位移等，根据数据判断，大桥各项指标完全符合设计要求。</w:t>
        <w:br/>
        <w:t xml:space="preserve">　　就是这个世界级的超级工程，人们很难想象，其实它是“车间化”和“流水线”生产出来的。</w:t>
        <w:br/>
        <w:t xml:space="preserve">　　港珠澳大桥管理局工程总监张劲文介绍说，大桥桥梁工程的用钢量达42.5万吨，约为60座埃菲尔铁塔，是在全球范围内首次如此大规模地使用钢箱梁的工程。大桥施工工期有限，使用传统的板单元人工焊接质量不稳定，工期难以保证。大桥设计者、管理者与建设者提出一个大胆设想：“在工厂中像生产汽车零件一样，使用机器人焊接，流水线作业生产钢箱梁。”</w:t>
        <w:br/>
        <w:t xml:space="preserve">　　大桥核心工程沉管隧道施工也同样采用工厂“流水线”生产，设计者将长约6.7公里的沉管隧道设计为由33节巨型沉管和1个合龙段最终接头组成，将建设分解为三个步骤：沉管管节预制、隧道基础处理和沉管浮运安装。建设者们在国内首次采用工厂流水线预制工艺预制沉管管节，拖至海中沉放安装完成合龙。</w:t>
        <w:br/>
        <w:t xml:space="preserve">　　张劲文表示，建设者们几乎将港珠澳大桥这个世纪工程整个搬进工厂，这绝对是超级工程建设史上的一次有意义的尝试。</w:t>
        <w:br/>
        <w:t xml:space="preserve">　　陆路连接，年均车流量将超2000万车次</w:t>
        <w:br/>
        <w:t xml:space="preserve">　　港珠澳大桥的建成将首次实现澳门、珠海与香港的陆路连接，“半小时生活圈”仅一步之遥，在此之前，人们从珠海到香港陆上可能要花费4个小时。</w:t>
        <w:br/>
        <w:t xml:space="preserve">　　广东省发改委党组成员、巡视员林林介绍说，港珠澳大桥是粤港澳三地首次合作共建的重大基础设施，从根本上改变珠江西岸地区与香港之间客货运输通道以水为主和陆路绕行的状况，降低了交通物流成本，对于推动粤港澳大湾区建设，实现三地融合发展具有重要意义。</w:t>
        <w:br/>
        <w:t xml:space="preserve">　　鉴于港珠澳大桥独特的地理位置以及涉及粤港澳三地法律法规，从大桥开始建设的那一刻起，各界对港珠澳大桥通车后的车流量有各种争论。根据粤港澳三方工作会议《港珠澳大桥跨界交通需求及通行费政策研究专题一》及相关数据综合预测，港珠澳大桥通行费收取标准听证会审核结论为：大桥主体工程30年收费期标准车流量预测为年均2072.57万次。</w:t>
        <w:br/>
        <w:t xml:space="preserve">　　对于这个数据，相关研究者表示这反映了粤港澳三地车辆跨界通行的实际需求，但不代表在现有的通车条件下能够达到这样的通车量。这需要粤港澳三地加快跨界通行政策制定并尽快落地，其中最重要的是增加通行车辆配额，有效增加通行量。粤港澳三地可以以港珠澳大桥为试点，逐步放宽通行政策，实现交通顺畅、通关便利的目标，最终发挥大桥对经济的带动作用。</w:t>
        <w:br/>
        <w:t xml:space="preserve">　　香港落马洲中港货运联会主席蒋志伟认为，如果粤港澳三地能加快跨界通行政策的制定，港珠澳大桥主体工程30年收费期内2072.57万次的年均标准车流量测算是保守的，随着粤港澳一体化的推进，港珠澳大桥跨界交通的需求将远大于前期测算。</w:t>
        <w:br/>
        <w:t xml:space="preserve">　　融合三地，管理创新进行时</w:t>
        <w:br/>
        <w:t xml:space="preserve">　　主体工程验收交付后，港珠澳大桥管理局面对的是一个庞大的系统，包括收费、通信、监控、交通安全设施、供配电等12个子系统，内部及外部接口界面关系错综复杂，所用设备种类繁多、数量庞大，综合管线布设十分密集，系统集控要求高、难度大。这些又直接关系到大桥的营运质量和用户的行车感受。</w:t>
        <w:br/>
        <w:t xml:space="preserve">　　“对于设计寿命120年的港珠澳大桥来说，一切才刚刚开始。”港珠澳大桥管理局副局长余烈介绍说，管理局将依托三地政府，在现有法律法规基础上，开展一系列管理创新。</w:t>
        <w:br/>
        <w:t xml:space="preserve">　　以看似简单的收费为例，香港采用的是快易通系统，内地则有一套自己的ETC电子收费系统；香港是按照通行的次数实行月结，而内地采用的是预存扣款；香港和内地使用的货币，也使收费涉及人民币和港币的跨境结算。如何通过兼顾多种软件、识别系统和收费方式，使通行体验更美好呢？</w:t>
        <w:br/>
        <w:t xml:space="preserve">　　事实上，收费问题只是交通工程建设者需要解决问题的冰山一角，涉及粤港澳三地大桥通行车辆规管、驾驶人资质、车辆运行、保险理赔、收费、通关等各项通行政策已完成研究工作，有关政策正在陆续出台，大桥管理与维护的相关设备也陆续安装到位。</w:t>
        <w:br/>
        <w:t xml:space="preserve">　　“港珠澳大桥将是党的十九大以来首个交付使用的超大型跨海交通工程项目，交工验收为多年的建设画上了圆满的句号。”港珠澳大桥管理局局长朱永灵表示，2018年港珠澳大桥又将起航踏上营运维护管理的新征程，大桥管理局将不辜负三地人民的期盼，开启港珠澳大桥营运维护人工智能管理新时代。</w:t>
        <w:br/>
        <w:t xml:space="preserve">　　“保姆好找，好保姆难找”问题咋解决？家政行业亟须一场供给侧结构性改革，只有有针对性地抓好选人、用人、留人环节，才能提供高品质、持续性的保姆服务</w:t>
        <w:br/>
        <w:t xml:space="preserve">　　</w:t>
        <w:br/>
        <w:t xml:space="preserve">　　快过年了，家政劳务市场出现返乡潮。日前，有媒体走访某省会城市多个家政公司，发现保姆服务价格明显上涨，无证上岗、随意离岗、合同混乱等问题突出。</w:t>
        <w:br/>
        <w:t xml:space="preserve">　　节日期间留下接着干的保姆适当涨价，这情有可原，问题是，只见价格噌噌涨，不见服务好分毫，这就说不过去了。</w:t>
        <w:br/>
        <w:t xml:space="preserve">　　长期以来，“保姆好找，好保姆难找”的问题为啥难解决？笔者看来，保姆市场存在准入门槛低、雇主维权难、流动性高三大问题，导致市场上不合资质乃至品行恶劣的保姆难以杜绝。</w:t>
        <w:br/>
        <w:t xml:space="preserve">　　好保姆，怎么来？归根到底，还得回到人员管理上去。</w:t>
        <w:br/>
        <w:t xml:space="preserve">　　在选人上，要严把关。保姆无证上岗、缩水培训等现象屡屡发生，是没有相应标准吗？不全是。实际上，国家已经有了月嫂、育儿嫂的职业标准和服务规范，但保姆行业还没有明确主管部门，标准执行上就打了折扣。政府应尽快研究完善标准，明确监管单位，加强标准的推广和监督。</w:t>
        <w:br/>
        <w:t xml:space="preserve">　　在用人上，要重反馈。信用杠杆正成为消费者维权的新武器，服务不达标、不履约，就得给差评、打低分，用户反馈差的服务商和个人，将面临远高于一次性处罚的失信成本，这是目前服务业普遍使用的办法。不妨把这种办法用到保姆行业上来，倒逼确保服务质量，使黑中介、恶保姆无处遁形。</w:t>
        <w:br/>
        <w:t xml:space="preserve">　　在留人上，要添保障。保姆流动性大、喜欢接私单，这与劳动保障缺失有很大关系，保姆的社保、底薪统统没有，职业安全感极低。北京、福州、深圳等地试行的“员工制”，能够让保姆们干劲更足，流失率降低，雇主满意度明显改善。但这会提高企业用人成本，一些地方给“员工制”家政提供社保补贴、免征营业税等政策优惠，有力支撑了试点的积极性。</w:t>
        <w:br/>
        <w:t xml:space="preserve">　　随着人们消费水平的提高，加上老龄化、二孩的普及，未来将催生更多保姆需求。保姆行业亟须一场供给侧结构性改革，抓好选人、用人、留人环节，有针对性地治理门槛低、维权难、流动大的沉疴，才能提供高品质、持续性的保姆服务。</w:t>
        <w:br/>
        <w:t xml:space="preserve">　　本报北京2月6日电  （记者杜海涛）记者从中国物流与采购联合会获悉：2017年全国社会物流总额252.8万亿元，按可比价格计算，同比增长6.7%，增速比上年同期提高0.6个百分点。</w:t>
        <w:br/>
        <w:t xml:space="preserve">　　2017年我国物流运行总体向好，社会物流增长稳中有升。全年社会物流总需求呈现稳中有升的发展态势。从构成看，2017年，工业品物流总额234.5万亿元，按可比价格计算，同比增长6.6%，增速比上年同期提高0.6个百分点；进口货物物流总额12.5万亿元，增长8.7%，提高1.3个百分点；农产品物流总额3.7万亿元，增长3.9%，提高0.8个百分点；再生资源物流总额1.1万亿元，下降1.9%；单位与居民物品物流总额1.0万亿元，增长29.9%。</w:t>
        <w:br/>
        <w:t xml:space="preserve">　　社会物流总费用与GDP的比率有所回落。2017年，我国社会物流总费用12.1万亿元，同比增长9.2%，增速低于社会物流总额、GDP现价增长。其中，运输费用6.6万亿元，增长10.9%，增速比上年同期提高7.6个百分点；保管费用3.9万亿元，增长6.7%，提高5.4个百分点；管理费用1.6万亿元，增长8.3%，提高2.7个百分点。社会物流总费用与GDP的比率为14.6%，比上年同期下降0.3个百分点。</w:t>
        <w:br/>
        <w:t xml:space="preserve">　　物流业总收入较快增长。2017年物流业总收入8.8万亿元，比上年增长11.5%，增速比上年同期提高6.9个百分点。</w:t>
        <w:br/>
        <w:t xml:space="preserve">　　2月5日，游客在文创街年货大集上参观游览。日前，北京王府井小吃街北侧的旅游纪念品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