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的企业之一。关停之后，借助当地农业产业优势，开办了食品加工、食品包装等相关业务，山里的绿色产品经过加工和包装，获得了更高额的回报。另一家制药企业也积极转型，通过生态旅游、生态农业等多业并举，发展生态林果，初步形成了农产品、食品加工产业链。</w:t>
        <w:br/>
        <w:t xml:space="preserve">　　耕地是宝贵的资源，保护耕地也关乎乡村振兴，必须按照绿色发展的要求来推进，走好“在保护中利用、在利用中保护”的路子</w:t>
        <w:br/>
        <w:t xml:space="preserve">　　</w:t>
        <w:br/>
        <w:t xml:space="preserve">　　“捏把黑土冒油花，插根筷子也发芽”。黑土是极为珍贵的自然资源，我国东北平原，就是世界三大黑土区之一。近年来，东北黑土地退化问题日益突出，加强保护刻不容缓。</w:t>
        <w:br/>
        <w:t xml:space="preserve">　　近日，农业部部长韩长赋发表署名文章指出，“决不能让黑土地在我们这一代人手中搞少了、搞瘦了”，引发广泛关注。有网友说看到了政府保护黑土地的决心，也有网友直呼：不“黑”的土地也求关注。</w:t>
        <w:br/>
        <w:t xml:space="preserve">　　这样的呼吁不无道理。我国地域辽阔，土壤资源丰富，除了黑土，还有黄土、红壤等多种耕地土壤类型。近年来，我国愈发重视耕地保护，“土十条”的出台，也给当前和今后土壤污染防治指明了方向。然而，新型工业化、城镇化的推进依然威胁着耕地资源，耕地变得少了、瘦了、脏了。</w:t>
        <w:br/>
        <w:t xml:space="preserve">　　事实上，不少看上去广袤而厚实的耕地，因跑偏的利用和迟到的保护，承载力和生产力早已被透支——本可流转种作物的农田却建起厂房，种地不养地的思维依旧顽固，填埋城市垃圾、倾倒废水的毒手伸向农田……有专家指出，耕地数量减少是硬伤，而质量退化、生态恶化则是内伤，后果更为严重。</w:t>
        <w:br/>
        <w:t xml:space="preserve">　　耕地是宝贵的资源，保护耕地关乎乡村振兴。只有按照绿色发展的要求来推进，走好“在保护中利用、在利用中保护”的路子，才能实现可持续利用。</w:t>
        <w:br/>
        <w:t xml:space="preserve">　　土壤污染本就被称为“看不见的污染”，耕地更是常因面积大、人流量小成为监管的薄弱地带。因此，要不断加强耕地污染管控与治理修复，落实耕地保护责任制，从源头监管，预防外来污染。刚印发的《农村人居环境整治三年行动方案》要求，重点整治垃圾山、垃圾围村、垃圾围坝、工业污染“上山下乡”，让我们看到了农村土地恢复净美的希望。</w:t>
        <w:br/>
        <w:t xml:space="preserve">　　保护农田土壤环境质量，除了“谁污染，谁埋单”，还应构建耕地保护的利益补偿机制，调动农民“种地要养地”的积极性，如此，才易于推行有机肥施用和轮作休耕，让疲惫的土地透透气、减减压。</w:t>
        <w:br/>
        <w:t xml:space="preserve">　　环境治理从来不是一蹴而就，耕地的治理保护同样需要长久努力。只要有踏石留印、抓铁有痕的韧劲，美丽的田野就是那方等你回望的土地。</w:t>
        <w:br/>
        <w:t xml:space="preserve">　　本报北京2月6日电  （记者杜海涛）记者从海关总署获悉：今年，海关将开展“国门利剑2018”联合打击走私专项行动，确定5个重点领域实施专项打击和集中整治。其中，打击“洋垃圾”走私被确定为“一号工程”。</w:t>
        <w:br/>
        <w:t xml:space="preserve">　　此外，另外4项打击走私重点领域是：严厉打击象牙等濒危物种走私、深入打击粮食等农产品走私、持续打击涉税商品走私、重拳打击涉枪涉毒走私。</w:t>
        <w:br/>
        <w:t xml:space="preserve">　　据介绍，2017年全国海关会同有关地方和部门，组织开展“国门利剑2017”联合专项行动，对“洋垃圾”、农产品、资源性产品、重点涉税商品、毒品和濒危物种等走私突出问题，实施专项打击和集中整治。全年共立案侦办走私犯罪案件3260起，同比增长24.2%。其中，立案侦办走私固体废物犯罪案件286起，同比增长了6.7倍，查证各类“洋垃圾”86.68万吨。近日，深圳海关成功摧毁一个利用他人许可证方式走私进口固体废物入境的犯罪网络，查证走私入境“洋垃圾”废塑料5万余吨，一举打掉10个走私进口废塑料的货主团伙，抓获涉案人员12名。</w:t>
        <w:br/>
        <w:t xml:space="preserve">　　本报武汉2月6日电  （记者程远州）记者从湖北省水利厅获悉：继推行河湖长制全覆盖之后，2018年起，湖北又将为所有河流湖泊配置警长。</w:t>
        <w:br/>
        <w:t xml:space="preserve">　　湖北省公安厅近期下发《全省公安机关实施河湖警长制工作方案》，明确省级河湖警长由副省长、省公安厅厅长担任，市、县、乡级河湖警长分别由属地公安（分）局局长和派出所所长担任。四级河湖警长配合同级河长、湖长履职，依法打击涉河湖环境违法犯罪，助推河湖长制全面落实。</w:t>
        <w:br/>
        <w:t xml:space="preserve">　　按照方案，河湖警长将以污染环境、破坏资源、涉黑涉恶、暴力抗法为打击重点，组织警力依法查处、严厉打击各类涉河湖违法犯罪行为。各级公安机关将与水利、环保等部门建立环境保护“两法衔接”和部门协作机制，联合开展水资源保护、水污染防治等工作。</w:t>
        <w:br/>
        <w:t xml:space="preserve">　　本报北京2月6日电  （记者赵贝佳）日前，由国家气象中心等单位编制的《2017年全国生态气象公报》（以下简称《公报》）在京发布。《公报》在评估2017年天气气候和2000年以来气候变化对全国陆地植被生态质量影响的基础上，加强了对典型湿地、荒漠生态系统以及北京密云水库、雄安新区、额济纳绿洲、贵州石漠化区等重点生态保护和建设区的气象影响评估，为我国生态文明建设、社会经济环境的可持续发展提供参考。</w:t>
        <w:br/>
        <w:t xml:space="preserve">　　《公报》显示，2017年全国大部地区光、温、水条件匹配较好，降水量接近常年同期或偏多，夏季降水量为1998年之后最多，气象条件总体利于植物生长。与常年相比，2017年全国植被生态质量处于正常偏好等级的面积比例达83.0%，较2016年增加1个百分点。十八大以来，全国植被平均净初级生产力和覆盖度比2000—2012年均值分别提高了36.9克碳/平方米和2.3%，人居“绿色”生态环境改善十分明显。2017年全国有11省份植被生态质量指数达80.0以上，福建植被生态质量跃居全国第一，广西第二。但是，2017年我国区域性气象灾害影响仍较为严重，特别是内蒙古、东北地区西部高温干旱影响植被正常生长，植被生态质量偏差。</w:t>
        <w:br/>
        <w:t xml:space="preserve">　　从长期变化来看，2000年以来全国平均气温呈上升、降水呈增加趋势，有力促进了国家生态工程建设和保护地区的生态恢复。全国有90.7%的区域植被生态质量呈改善趋势，植被固碳释氧能力明显增强；十八大以来平均固碳释氧能力比2000—2012年均值提高了9.1%；全国植被覆盖持续增加，气象条件贡献率平均达84.0%以上，贵州和广西达92.0%以上。2000—2017年全国31个省份植被生态质量均呈改善趋势，其中山西、陕西、重庆、安徽、广西位于全国植被生态质量改善前5名，山西植被生态改善最快。</w:t>
        <w:br/>
        <w:t xml:space="preserve">　　对重点生态建设和保护地区的气象监测结果表明，从2000年到2017年，三江源地区、北京密云水库、雄安新区、呼伦湖区域、额济纳绿洲、贵州和广西石漠化区、柴达木盆地、扎龙湿地等都出现了植被恢复、水体面积扩大等生态质量改善趋势，生态保护建设成效显著。</w:t>
        <w:br/>
        <w:t xml:space="preserve">　　本报北京2月6日电  （记者赵贝佳）中国气象局预计，近期全国大部地区雨雪稀少，主要关注南北方气温变化。6日—7日，北方地区受弱冷空气影响，气温依旧低迷；南方气温6日度过“冻人”时刻，将开始触底反弹。</w:t>
        <w:br/>
        <w:t xml:space="preserve">　　受弱冷空气影响，6日晨，华北、黄淮及东北地区出现明显降温，预计7日，弱冷空气将继续影响北方，内蒙古中东部、华北大部、黄淮东部、辽东半岛等地降温4—6℃，并伴有4—6级风。6日晨，浙江、江西、福建、广东、广西等地降温2—5℃，大部地区出现入冬以来最低值；最低气温0℃线位于南岭一线。6日开始，淮河以南大部地区气温逐步回升，8日—9日，气温将回升至正常水平。</w:t>
        <w:br/>
        <w:br/>
        <w:t xml:space="preserve">　　2017年，国家开发银行（以下简称开发银行）以学习宣传贯彻党的十九大精神为主线，坚持稳中求进工作总基调，服务深化供给侧结构性改革，推进全面从严治党从严治行和改革发展，党建工作不断迈向新高度，服务国家战略开启新征程，深化改革取得新进展，风险防控取得新实效，经营发展再上新台阶。</w:t>
        <w:br/>
        <w:t xml:space="preserve">　　2018年，开发银行将深入贯彻落实党的十九大精神、中央经济工作会议和全国金融工作会议精神，以习近平新时代中国特色社会主义思想为指导，坚持稳中求进工作总基调，坚持新发展理念，以服务供给侧结构性改革为主线，按照高质量发展的要求，全面加强党建、继续深化改革、提升经营质效、强化风险管控，统筹做好服务稳增长、促改革、调结构、惠民生、防风险各项工作，促进经济社会持续健康发展。</w:t>
        <w:br/>
        <w:t xml:space="preserve">　　</w:t>
        <w:br/>
        <w:t xml:space="preserve">　　交出亮丽五年成绩单</w:t>
        <w:br/>
        <w:t xml:space="preserve">　　坚持服务国家战略，坚持开发性金融发展方向，坚持创新驱动发展，坚持市场化运作，坚持党建统领</w:t>
        <w:br/>
        <w:t xml:space="preserve">　　党的十八大以来的五年，开发银行不折不扣贯彻落实中央决策部署，在经济社会发展中彰显了开发性金融的独特价值。坚定不移服务供给侧结构性改革，着力推进“三去一降一补”，超过80%资产投向实体经济，累计向实体经济提供融资支持16.5万亿元，减费让利降低企业融资成本近2000亿元。把脱贫攻坚作为首要任务，易地扶贫搬迁贷款惠及911万建档立卡贫困人口，助学贷款使1039万家庭经济困难学生圆了大学梦。大力支持保障性住房建设，棚改贷款帮助2000多万户棚户区居民出棚进楼。助力重大基础设施引领“中国速度”，支持轨道交通建设里程4700公里、高速公路1.6万公里、高速铁路超过1万公里。支持“一带一路”建设，向沿线国家发放贷款1858亿美元，积极参与国际金融治理，服务全面开放新格局。</w:t>
        <w:br/>
        <w:t xml:space="preserve">　　5年来，开发银行把深化改革作为办好银行的“关键一招”，按照中央对金融改革的总体部署，从实际出发，坚持开发性金融发展方向，提出并成功实施了解决长期债信、完善银行控股集团架构、推动开行立法的深化改革“三步走”战略。深化改革“三步走”战略的成功实现，成为十八大以来我国金融体制改革的一项重要成果，在开发银行改革发展史上具有重要里程碑意义。</w:t>
        <w:br/>
        <w:t xml:space="preserve">　　5年来，开发银行把防控风险和提质增效放在更加重要的位置，精细化管理水平和可持续发展能力显著提升。通过创新模式方法，强化全流程风险防控，全行主动防范化解风险工作取得突破。从2012年到2017年底，开发银行资产总额由7.4万亿元增长到15.7万亿元；不良贷款率连续51个季度控制在1%以内。</w:t>
        <w:br/>
        <w:t xml:space="preserve">　　5年来，开发银行推进全面从严治党从严治行向纵深发展，党风行风和干部员工精神面貌焕然一新。突出党的领导，坚持思想建党，抓实思想政治工作，推进开行文化建设。党的十九大闭幕后，首次以宣讲团形式开展对中央精神的集中宣讲，实现对总分行、子公司的全覆盖。同时，构建从严治党责任制体系，营造风清气正的良好政治生态。</w:t>
        <w:br/>
        <w:t xml:space="preserve">　　5年来的开发性金融实践，为开发银行更好发挥作用积累了宝贵经验。这些经验是，坚持服务国家战略，坚持开发性金融发展方向，坚持创新驱动发展，坚持市场化运作，坚持党建统领。</w:t>
        <w:br/>
        <w:t xml:space="preserve">　　开发银行5年来的改革发展成绩和经验，是在习近平新时代中国特色社会主义思想引领下取得的，是党的十八大以来我国历史性成就、历史性变革在金融领域的一个缩影。</w:t>
        <w:br/>
        <w:t xml:space="preserve">　　支持现代化经济体系建设</w:t>
        <w:br/>
        <w:t xml:space="preserve">　　发挥开发银行优势，助力打赢三大攻坚战；支持实体经济，服务高质量发展；保障和改善民生，更好满足人民美好生活需要；创新业务模式，完善综合金融服务；继续推进深化改革，提高精细化管理水平</w:t>
        <w:br/>
        <w:t xml:space="preserve">　　对开发银行而言，开发性金融正处在大有可为的历史机遇期，有很大发挥作用的空间。党的十九大和中央经济工作会议的部署和要求为开发银行服务经济社会发展指明了方向，很多要求都与开发银行中长期投融资业务高度契合，是开发银行应当重点发挥作用的开发性业务领域，也是开发银行有能力有条件发挥作用的优势领域。开发银行要牢牢把握稳中求进工作总基调，以稳求进，以进促稳，更好支持现代化经济体系建设。</w:t>
        <w:br/>
        <w:t xml:space="preserve">　　一是发挥开发银行优势，助力打赢三大攻坚战。守住风险底线，防范化解重大风险，协助地方政府稳妥处理好债务问题，继续加强重点风险防控，完善风险防控体系，加强信贷基础管理，创新风险防控手段，持续推进风险文化建设。推进精准脱贫，保证脱贫质量，坚持大扶贫格局和“三融”“四到”的扶贫策略，深化与国家有关部委和地方政府的合作，深入推进深度贫困地区脱贫攻坚、定点扶贫、东西部协作扶贫“三大行动”，力争全年发放脱贫攻坚贷款不低于4000亿元。发展绿色金融，支持生态环境质量改善，积极支持打好大气、水、土壤污染防治三大战役，健全绿色金融产品体系，积极支持环保节能、清洁能源、绿色产品制造、循环经济、低碳城市等领域发展，支持各省储备林项目。</w:t>
        <w:br/>
        <w:t xml:space="preserve">　　二是支持实体经济，服务高质量发展。服务深化供给侧结构性改革，以促进提高供给体系质量作为主攻方向，破除无效供给，大力培育新动能，助力降低实体经济成本。服务创新型国家建设，完善银政企合作机制，加大力度支持集成电路等先进制造业。服务乡村振兴战略实施，将其与脱贫攻坚、新型城镇化统筹起来，支持农业供给侧结构性改革，促进城乡融合发展和基础设施互联互通。服务区域协调发展，统筹推进“三大战略”“四大板块”。服务“一带一路”建设，落实“一带一路”国际合作高峰论坛成果，确保发挥主力银行作用。</w:t>
        <w:br/>
        <w:t xml:space="preserve">　　三是保障和改善民生，更好满足人民美好生活需要。继续支持保障房建设和住房制度改革，对接新的棚改三年计划，全力保障续建及今年580万套新开工项目资金需求，积极设计吸引社会资本广泛参与保障房建设的有效模式。大力支持教育、医疗卫生、健康养老等事业发展，推动完善助学贷款相关政策，扩大助学贷款受惠面；助力医疗卫生服务体系建设，改善广大农村特别是贫困人口就医条件；推动养老行业发展，支持居家社区养老项目和农村养老服务体系建设。</w:t>
        <w:br/>
        <w:t xml:space="preserve">　　四是创新业务模式，完善综合金融服务。创新融资模式，构建更多依托项目自身收益还款的机制。创新金融产品，发挥综合金融服务优势，加强同业合作，着力提升表外融资效能。创新服务机制，坚持全流程服务、全产品统筹、全视角监测的“三全”服务理念。</w:t>
        <w:br/>
        <w:t xml:space="preserve">　　五是继续推进深化改革，提高精细化管理水平。抓好开发银行深化改革政策落实，完善经营管理机制，健全完善反映高质量发展的统计标准体系和指标体系，进一步加大内部挖潜力度，稳步推进子公司改革。</w:t>
        <w:br/>
        <w:t xml:space="preserve">　　全面从严治党从严治行    </w:t>
        <w:br/>
        <w:t xml:space="preserve">　　坚持把政治建设摆在首位；坚持思想建党；坚持党管干部原则；持之以恒正风肃纪</w:t>
        <w:br/>
        <w:t xml:space="preserve">　　开发银行要继续深入学习贯彻习近平新时代中国特色社会主义思想，进一步牢固树立“四个意识”，坚定“四个自信”，坚持和加强党的全面领导，以政治建设为统领，以坚定理想信念宗旨为根基，以严肃党内政治生活和强化党内监督为重点，全面加强党的政治建设、思想建设、组织建设、作风建设、纪律建设，把制度建设贯穿其中。</w:t>
        <w:br/>
        <w:t xml:space="preserve">　　一是坚持把政治建设摆在首位，筑牢党员干部的政治灵魂，始终绷紧讲政治这根弦，牢固树立“四个意识”，坚定维护习近平总书记在党中央和全党的核心地位，坚决维护以习近平同志为核心的党中央权威和集中统一领导，认真组织学党章、用党章，发展积极健康的开发银行政治文化，营造风清气正的政治生态。</w:t>
        <w:br/>
        <w:t xml:space="preserve">　　二是坚持思想建党，用习近平新时代中国特色社会主义思想武装全行，深入开展“不忘初心、牢记使命”主题教育，把全行员工思想认识统一到新时代新征程新使命上来，广泛凝聚接续奋斗的强大动力。</w:t>
        <w:br/>
        <w:t xml:space="preserve">　　三是坚持党管干部原则，突出政治标准，继续贯彻落实“好干部”标准和“德才兼备、实践标准、群众路线”的选人用人导向，建设高素质专业化干部人才队伍。</w:t>
        <w:br/>
        <w:t xml:space="preserve">　　四是强化基层党组织领导力，压实党组织领导责任，建好建强基层党支部，推动全面从严治党向基层延伸。</w:t>
        <w:br/>
        <w:t xml:space="preserve">　　五是落实中纪委二次全会精神，持之以恒正风肃纪，全面加强纪律建设，发挥巡视利剑作用，加强重点业务廉政风险防控，强化监督执纪问责，坚持抓牢“关键少数”和管住“绝大多数”，以永远在路上的执着把从严治党从严治行引向深入。</w:t>
        <w:br/>
        <w:t xml:space="preserve">　　在学习贯彻党的十九大精神的开局之年，开发银行要有新气象新担当新作为。全行将深入学习贯彻中央精神，以时不我待、只争朝夕的精神投入工作，克难奋进，锐意进取，为决胜全面建成小康社会、夺取新时代中国特色社会主义伟大胜利、实现中华民族伟大复兴中国梦作出新的更大贡献。</w:t>
        <w:br/>
        <w:t xml:space="preserve">　　（作者为国家开发银行党委书记、董事长）</w:t>
        <w:br/>
        <w:t xml:space="preserve">　　“我们通过以市场主体为龙头，汇聚高端人才，推动科技创新，整合各方资源，服务国家创新创业战略，目前已经吸引了一批海外高层次人才回国创业，挖掘出了大量优质本土创业项目。”近日，在第七届“千人计划”创业大赛新闻发布会上，大赛新闻发言人、千人计划创投中心总经理王晓玲介绍了新一届大赛的情况。她说，主办方联合大赛合作投资机构，共同设立了30亿元的投资意向金投资大赛项目，为创业者排忧解难、加油助力。</w:t>
        <w:br/>
        <w:t xml:space="preserve">　　设立30亿元投资意向金</w:t>
        <w:br/>
        <w:t xml:space="preserve">　　随手展开一张透明的“纸”，手指一点，就是电脑，墙上一贴，就是屏幕。这些在科幻大片中出现的柔性屏，正成为各家跨国公司角逐的领域。而在这场全球竞争中，苏州诺菲纳米科技有限公司凭借纳米银线材料，占得了一席之地。</w:t>
        <w:br/>
        <w:t xml:space="preserve">　　诺菲纳米的起步，是从首届“千人计划”创业大赛，拿到大赛参与机构北极光创投220万美元的天使投资开始的，并在2015年获得英特尔的投资。</w:t>
        <w:br/>
        <w:t xml:space="preserve">　　这项为海归人才创业提供服务的平台，是由国内首家服务于“千人计划”的综合性投融资平台——“千人计划”创投中心和“千人计划”专家联谊会联合主办。中国证监会研究院法治中心研究员、“千人计划”专家联谊会副秘书长李正辉介绍，2012年至今，“千人计划”创业大赛已在海内外20多个城市举办，吸引了超过5000个海内外项目报名，主要来自人工智能、纳米技术、生命健康等国家战略新兴行业。据初步统计，大赛累计产生100个决赛项目，共获得融资超32亿元，其中26人获评中组部“千人计划”专家。</w:t>
        <w:br/>
        <w:t xml:space="preserve">　　对于新一届“千人计划”创业大赛，王晓玲介绍，大赛在赛制和奖励安排上有很大突破。她说，一是联合大赛合作投资机构，共同设立了30亿元的投资意向金投资大赛项目；二是创业助力金全面升级，一等奖最高可获得超过1000万元创业助力金；三是获奖项目数量大幅增加，获奖项目从往届6名增加到50名；四是对参赛项目提供全方位创业服务，包括知名创业导师的一对一创业辅导，与近200只知名基金及上市公司、龙头企业高效精准对接等服务。</w:t>
        <w:br/>
        <w:t xml:space="preserve">　　成为高科技企业孵化器</w:t>
        <w:br/>
        <w:t xml:space="preserve">　　扫二维码，指纹识别，就能直接支付。如今，这样的支付场景已经成为我们日常生活的一部分。便捷背后，众多保障移动支付安全的应用和技术，为我们的钱包保驾护航。汪德嘉和他创办的江苏通付盾科技有限公司正是其中的一环。</w:t>
        <w:br/>
        <w:t xml:space="preserve">　　2011年，汪德嘉看到国内互联网风头正劲，但国内移动安全领域却空白。于是，汪德嘉带着在硅谷的老同事和一批“学生军”投身国内市场。</w:t>
        <w:br/>
        <w:t xml:space="preserve">　　刚创业时，汪德嘉的最大梦想是“干掉USBKey”，通过对手机的“软加固”，让用户可以用手机取代USBKey，毫无安全隐患地直接支付。为了实现这个梦想，汪德嘉参加了首届“千人计划”创业大赛，经过大赛主办方介绍，前后接触了上百家投资机构，在最困难的时候，通付盾拿到了2150万元的融资。</w:t>
        <w:br/>
        <w:t xml:space="preserve">　　如今，USBKey加密已与移动支付渐行渐远，汪德嘉和他的公司也实现了扭亏为盈。</w:t>
        <w:br/>
        <w:t xml:space="preserve">　　同样从“千人计划”创业大赛上崭露头角的，还有诺菲纳米。</w:t>
        <w:br/>
        <w:t xml:space="preserve">　　2012年，回国创业的潘克菲参加了首届“千人计划”创业大赛，拿到大赛参与机构北极光创投220万美元的天使投资。有了创业资金，潘克菲和团队开始致力于纳米银线材料运用到更多应用场景中的研究。凭借对新一代纳米级材料技术的应用和开发，诺菲纳米掌握了处于国际先进水平的多项核心技术，以及在新能源、显示技术等市场的应用。2015年，公司获得英特尔的投资；2016年9月，诺菲纳米获得了世界互联网科技杂志《红鲱鱼》评选的“亚洲100强”最具潜力创业公司的荣誉。</w:t>
        <w:br/>
        <w:t xml:space="preserve">　　如今的诺菲纳米，不仅打破了日本在智能手机、平板电脑显示屏导电层的ITO（氧化铟锡）材料上的垄断，公司生产的显示屏还被应用在美国所有特斯拉门店、韩国三星专卖店、法国高速列车自主买票系统等场景。</w:t>
        <w:br/>
        <w:t xml:space="preserve">　　让科学家变身企业家</w:t>
        <w:br/>
        <w:t xml:space="preserve">　　2012年，首届“千人计划”创业大赛正式启动。这不只是一场比赛，也是一个专门为海归打造的创业成长空间。</w:t>
        <w:br/>
        <w:t xml:space="preserve">　　在大赛指导委员会委员、启明创投创始人、主管合伙人邝子平看来，和目前很多创业大赛不同的是，“千人计划”创业大赛的评委和导师阵容非常有特点。“在初赛、复赛的各个阶段，大赛的主办方都邀请了我们投资机构深度参与。现在，每年的‘千人计划’创业大赛已经成为我们重要的潜在投资项目源。”</w:t>
        <w:br/>
        <w:t xml:space="preserve">　　目前，大赛得到了国内近200家创投机构的参与和支持。第七届大赛的总评委为知名投资人嘉御基金创始合伙人、董事长卫哲和金沙江创投董事总经理朱啸虎。在创立嘉御基金之前，卫哲是阿里巴巴首席执行官，而朱啸虎素有“独角兽捕手”之称，投出了滴滴出行、饿了么等优秀创业公司。</w:t>
        <w:br/>
        <w:t xml:space="preserve">　　盖亚环境创始人程功弼在参加了第二届“千人计划”创业大赛后，又参加了“学在沙湖”创业者训练营，通过这一系列的服务，快速地让这位“科学家”成长为“企业家”。2017年，程功弼入选国家第十三批“千人计划”专家。</w:t>
        <w:br/>
        <w:t xml:space="preserve">　　2月8日，“华侨城·自贡灯会”正式亮灯仪式将在具有“文化国门”美誉的西安古城墙永宁门举行。据介绍，“华侨城·自贡灯会”由华侨城集团打造，是全国首个品牌灯会，将于春节前后在北京、上海、天津、重庆、西安、深圳、武汉、昆明、成都、宜宾、广元及自贡12座城市举办，用彩灯点亮中国年，为全国人民呈现一场具有浓厚传统文化色彩的视觉盛宴。</w:t>
        <w:br/>
        <w:t xml:space="preserve">　　作为非物质文化遗产，自贡灯会被称为“天下第一灯”，至今已先后在国内500多个大中城市展出，走向了世界60多个国家和地区。</w:t>
        <w:br/>
        <w:t xml:space="preserve">　　西安成为灯会“开场秀”</w:t>
        <w:br/>
        <w:t xml:space="preserve">　　西安亮灯仪式是全国十二城灯会的“开场秀”，为此，华侨城特别设计了独特的灯光创意，届时将会有立体科技灯光舞美惊艳亮相。观众可现场欣赏融合中国传统元素及西安特色的开场舞，感受万盏彩灯的特效视频、炫彩灯光、震撼音效，郎朗、杨丽萍等也将现场助阵。</w:t>
        <w:br/>
        <w:t xml:space="preserve">　　西安永宁门是西安明城墙的正南门，拥有30余年的新春灯会历史。2017年，华侨城集团与西安签订了全面战略合作协议。</w:t>
        <w:br/>
        <w:t xml:space="preserve">　　目前，华侨城集团以西安“大遗址、大秦岭”的定位、“周、秦、汉、唐+现代化、国际化大都市”的思路，全面整合和梳理西安文化历史遗存，以保护、传承、弘扬为基础，以自身“文化+旅游+城镇化”的创新模式为载体和平台，实施一系列重大项目建设。</w:t>
        <w:br/>
        <w:t xml:space="preserve">　　在举办“华侨城·自贡灯会”的过程中，华侨城集团充分利用全国文旅产业布局的优势联动12座城市，以华侨城欢乐谷连锁主题公园、深圳大鹏所城、深圳欢乐海岸、锦绣中华民俗村、昆明世博园、西安古城墙、广元剑门关等游客喜爱的景区，演绎中国彩灯风采。</w:t>
        <w:br/>
        <w:t xml:space="preserve">　　58万盏灯组成600件作品</w:t>
        <w:br/>
        <w:t xml:space="preserve">　　此次新春灯会共邀请3000余名手工制灯人，耗时100多天，用58万盏灯创作出600多组彩灯作品、展出面积达162.3万平方米。而十二城灯会也将分别结合当地的城市气质和文化进行设计，各自具备鲜明的特色和引人入胜的亮点。</w:t>
        <w:br/>
        <w:t xml:space="preserve">　　在京津冀，以“光影北京，点亮全城”为主题的灯光大秀将在北京欢乐谷呈现，冰雕与彩灯交相辉映，打造“冰火两重天”的别样景致；在天津，将会有由百位“非物质文化遗产”传人匠心制作的上百组璀璨花灯闪耀津门。</w:t>
        <w:br/>
        <w:t xml:space="preserve">　　在华东地区，85天超长跨年灯会已在上海欢乐谷上演，更有国际滑稽、龙狮争霸、绛州鼓乐、美食大庙会等丰富内容。</w:t>
        <w:br/>
        <w:t xml:space="preserve">　　在彩云之南，昆明世界园艺博览园以传统年俗活动结合现代灯光，让年味更浓。</w:t>
        <w:br/>
        <w:t xml:space="preserve">　　在天府之国，成都欢乐谷打造百余组史努比形象大型灯组，广元剑门关将结合剑阁古蜀道文化，上演一场别具一格的三国灯光秀；在自贡彩灯公园举办的第二十四届自贡国际恐龙灯会将把“中国元素”通过园内130余组彩灯展现出来。</w:t>
        <w:br/>
        <w:t xml:space="preserve">　　在深圳欢乐谷，彩灯分为七大特色主题区域，呈现最具年味儿和鹏城特色的新春庙会；另外，深圳欢乐海岸、锦绣中华·民俗村也已开启新年灯会。</w:t>
        <w:br/>
        <w:t xml:space="preserve">　　推进全域旅游及新型城镇化</w:t>
        <w:br/>
        <w:t xml:space="preserve">　　本次“华侨城·自贡灯会”在打造全国高品质、高规模灯会的同时，着力传承中国文化民俗。灯会将创新演绎传统中国元素，营造一个融汇传统文化与现代科技的夺目彩灯世界。</w:t>
        <w:br/>
        <w:t xml:space="preserve">　　同时，此次举办灯会的华北、华东、中部、西南、华南12个城市中，大部分是中华文化的代表城市，更是“一带一路”的重要节点。联动举办点亮半个中国的全国性灯会，旨在将各地彩灯文化进行整合，提升系统性与影响力，让更多人欣赏彩灯文化、关注彩灯文化。</w:t>
        <w:br/>
        <w:t xml:space="preserve">　　华侨城相关负责人表示，今年适逢改革开放40周年，也是全面贯彻党的十九大精神的开局之年。华侨城集团将不忘初心、牢记使命，践行央企的政治责任、社会责任、经济责任，全面推进全域旅游及新型城镇化建设。</w:t>
        <w:br/>
        <w:t xml:space="preserve">　　火车站是城市的重要窗口，集中展现城市管理能力水平。针对前些年脏乱差等一系列备受社会诟病的问题，很多地方下足了“绣花功夫”，努力把火车站打造成为城市管理的“名片”。如今正值春运，本报记者多路实地走访，感受火车站治理的变迁，并且以小见大，希望为城市其他方面的精细化管理提供借鉴。 </w:t>
        <w:br/>
        <w:t xml:space="preserve">　 ——编 者</w:t>
        <w:br/>
        <w:t xml:space="preserve">　　</w:t>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