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C8E7A78">
      <w:pPr>
        <w:pStyle w:val="2"/>
      </w:pPr>
      <w:r>
        <w:t>软件商业授权说明</w:t>
      </w:r>
    </w:p>
    <w:p w14:paraId="7ED12D0F">
      <w:pPr>
        <w:pStyle w:val="3"/>
      </w:pPr>
      <w:r>
        <w:t>一、授权主体与软件概述</w:t>
      </w:r>
    </w:p>
    <w:p w14:paraId="6369D3FA">
      <w:pPr>
        <w:pStyle w:val="17"/>
        <w:numPr>
          <w:ilvl w:val="0"/>
          <w:numId w:val="1"/>
        </w:numPr>
      </w:pPr>
      <w:r>
        <w:rPr>
          <w:b/>
          <w:bCs/>
        </w:rPr>
        <w:t>授权主体</w:t>
      </w:r>
      <w:r>
        <w:t>：本软件由 [</w:t>
      </w:r>
      <w:r>
        <w:rPr>
          <w:rFonts w:hint="eastAsia"/>
          <w:lang w:val="en-US" w:eastAsia="zh-CN"/>
        </w:rPr>
        <w:t>王宝</w:t>
      </w:r>
      <w:r>
        <w:t>] 独立开发并拥有完整知识产权。</w:t>
      </w:r>
    </w:p>
    <w:p w14:paraId="5CECFC37">
      <w:pPr>
        <w:pStyle w:val="17"/>
        <w:numPr>
          <w:ilvl w:val="0"/>
          <w:numId w:val="1"/>
        </w:numPr>
      </w:pPr>
      <w:r>
        <w:rPr>
          <w:b/>
          <w:bCs/>
        </w:rPr>
        <w:t>软件功能概述</w:t>
      </w:r>
      <w:r>
        <w:t>：本软件集成基础配置、商品预测、订单管理、排产排程、产能配置等核心功能，旨在为企业提供全面、高效的生产运营管理解决方案。</w:t>
      </w:r>
    </w:p>
    <w:p w14:paraId="39660950">
      <w:pPr>
        <w:pStyle w:val="3"/>
      </w:pPr>
      <w:r>
        <w:t>二、开源与闭源部分说明</w:t>
      </w:r>
    </w:p>
    <w:p w14:paraId="6D5CEDB7">
      <w:pPr>
        <w:pStyle w:val="17"/>
        <w:numPr>
          <w:ilvl w:val="0"/>
          <w:numId w:val="2"/>
        </w:numPr>
      </w:pPr>
      <w:r>
        <w:rPr>
          <w:b/>
          <w:bCs/>
        </w:rPr>
        <w:t>开源部分</w:t>
      </w:r>
      <w:r>
        <w:t>：软件大部分功能以开源形式提供，涵盖基础配置模块核心代码、商品预测算法基础实现、订单管理常规流程操作代码、排产排程基本逻辑以及产能配置基础设置功能代码等。用户可自由使用、复制、修改和重新分发这些开源代码，但需保留代码中的版权声明和开源协议相关声明。</w:t>
      </w:r>
    </w:p>
    <w:p w14:paraId="7731860F">
      <w:pPr>
        <w:pStyle w:val="17"/>
        <w:numPr>
          <w:ilvl w:val="0"/>
          <w:numId w:val="2"/>
        </w:numPr>
      </w:pPr>
      <w:r>
        <w:rPr>
          <w:b/>
          <w:bCs/>
        </w:rPr>
        <w:t>闭源部分</w:t>
      </w:r>
      <w:r>
        <w:t>：部分 SDK 功能不开源，这些功能经过深度优化和专业设计，为软件的特定应用场景和高级功能提供支持。闭源目的是保护软件开发过程中投入的大量研发成本和知识产权。</w:t>
      </w:r>
    </w:p>
    <w:p w14:paraId="5A60F6AF">
      <w:pPr>
        <w:pStyle w:val="3"/>
      </w:pPr>
      <w:r>
        <w:t>三、授权使用规则</w:t>
      </w:r>
    </w:p>
    <w:p w14:paraId="6D335C51">
      <w:pPr>
        <w:pStyle w:val="17"/>
        <w:numPr>
          <w:ilvl w:val="0"/>
          <w:numId w:val="3"/>
        </w:numPr>
      </w:pPr>
      <w:r>
        <w:rPr>
          <w:b/>
          <w:bCs/>
        </w:rPr>
        <w:t>开源部分使用</w:t>
      </w:r>
      <w:r>
        <w:t>：用户可免费使用软件开源部分，用于个人学习、内部业务测试或商业运营，均无需支付费用。但使用过程中，需严格遵守相关开源协议。</w:t>
      </w:r>
    </w:p>
    <w:p w14:paraId="44944428">
      <w:pPr>
        <w:pStyle w:val="17"/>
        <w:numPr>
          <w:ilvl w:val="0"/>
          <w:numId w:val="3"/>
        </w:numPr>
      </w:pPr>
      <w:r>
        <w:rPr>
          <w:b/>
          <w:bCs/>
        </w:rPr>
        <w:t>闭源 SDK 功能使用</w:t>
      </w:r>
    </w:p>
    <w:p w14:paraId="42D3AC2B">
      <w:pPr>
        <w:pStyle w:val="17"/>
        <w:numPr>
          <w:ilvl w:val="1"/>
          <w:numId w:val="4"/>
        </w:numPr>
      </w:pPr>
      <w:r>
        <w:rPr>
          <w:b/>
          <w:bCs/>
        </w:rPr>
        <w:t>仅使用 SDK 功能</w:t>
      </w:r>
      <w:r>
        <w:t>：若用户仅希望在其项目中集成和使用不开源的 SDK 功能，而不获取 SDK 功能的源代码，可直接按照软件提供的接口文档和使用说明进行操作，无需支付额外的 SDK 功能使用授权费用。</w:t>
      </w:r>
    </w:p>
    <w:p w14:paraId="3F2631B1">
      <w:pPr>
        <w:pStyle w:val="17"/>
        <w:numPr>
          <w:ilvl w:val="1"/>
          <w:numId w:val="4"/>
        </w:numPr>
      </w:pPr>
      <w:r>
        <w:rPr>
          <w:b/>
          <w:bCs/>
        </w:rPr>
        <w:t>获取 SDK 功能源码</w:t>
      </w:r>
      <w:r>
        <w:t>：若用户有获取 SDK 功能源代码的需求，需添加指定微信账号（微信：rpcjmeter，备注：APS）与授权主体联系。用户应详细说明获取源码的用途、使用场景以及预期的项目规模等信息。经授权主体评估和确认后，双方将协商具体的授权费用、使用条款以及保密协议等相关事宜。只有在完成所有授权流程并支付相应费用后，用户方可获得 SDK 功能的源代码。</w:t>
      </w:r>
    </w:p>
    <w:p w14:paraId="547D9F48">
      <w:pPr>
        <w:pStyle w:val="17"/>
        <w:numPr>
          <w:ilvl w:val="0"/>
          <w:numId w:val="5"/>
        </w:numPr>
      </w:pPr>
      <w:r>
        <w:rPr>
          <w:b/>
          <w:bCs/>
        </w:rPr>
        <w:t>定制开发功能</w:t>
      </w:r>
      <w:r>
        <w:t>：如果用户对软件功能有特殊需求，需要进行定制开发，可通过添加指定微信账号（微信：rpcjmeter，备注：APS）与授权主体取得联系。用户需详细描述定制开发的功能需求、业务逻辑以及期望达到的效果等。授权主体将根据需求的复杂程度、开发工作量等因素评估定制开发的费用，并与用户签订定制开发合同。合同将明确规定定制开发功能的交付时间、验收标准、售后服务以及知识产权归属等重要条款。</w:t>
      </w:r>
    </w:p>
    <w:p w14:paraId="60150AEE">
      <w:pPr>
        <w:pStyle w:val="3"/>
      </w:pPr>
      <w:r>
        <w:t>四、知识产权声明</w:t>
      </w:r>
    </w:p>
    <w:p w14:paraId="02370FCC">
      <w:pPr>
        <w:pStyle w:val="17"/>
        <w:numPr>
          <w:ilvl w:val="0"/>
          <w:numId w:val="6"/>
        </w:numPr>
      </w:pPr>
      <w:r>
        <w:t>软件的所有源代码（包括开源部分和闭源部分）、相关文档、设计架构以及衍生作品等均受知识产权法律法规的保护，其知识产权归授权主体所有。</w:t>
      </w:r>
    </w:p>
    <w:p w14:paraId="44383CA3">
      <w:pPr>
        <w:pStyle w:val="17"/>
        <w:numPr>
          <w:ilvl w:val="0"/>
          <w:numId w:val="6"/>
        </w:numPr>
      </w:pPr>
      <w:r>
        <w:t>用户在使用软件过程中，不得对软件进行反向工程、反编译、反汇编或以其他方式试图获取软件的源代码（开源部分代码获取除外）。未经授权主体书面许可，用户不得擅自将软件或其任何部分转让、出租、出借、再分发或用于任何商业盈利目的的衍生产品开发。</w:t>
      </w:r>
    </w:p>
    <w:p w14:paraId="3063948F">
      <w:pPr>
        <w:pStyle w:val="17"/>
        <w:numPr>
          <w:ilvl w:val="0"/>
          <w:numId w:val="6"/>
        </w:numPr>
      </w:pPr>
      <w:r>
        <w:t>对于开源部分，用户在遵守相应开源协议的前提下进行修改和分发时，需确保修改后的代码同样遵循开源协议，并且保留原作者的版权声明和开源协议声明。</w:t>
      </w:r>
    </w:p>
    <w:p w14:paraId="5991FFB8">
      <w:pPr>
        <w:pStyle w:val="3"/>
      </w:pPr>
      <w:r>
        <w:t>五、商用免责声明</w:t>
      </w:r>
    </w:p>
    <w:p w14:paraId="03915D2E">
      <w:pPr>
        <w:pStyle w:val="17"/>
        <w:numPr>
          <w:ilvl w:val="0"/>
          <w:numId w:val="7"/>
        </w:numPr>
      </w:pPr>
      <w:r>
        <w:t>本软件按 “原样” 提供，授权方不提供任何形式的明示或暗示的保证，包括但不限于对软件的适销性、特定用途的适用性、准确性、完整性、可靠性、及时性或无侵权性的保证。</w:t>
      </w:r>
    </w:p>
    <w:p w14:paraId="649BEBE0">
      <w:pPr>
        <w:pStyle w:val="17"/>
        <w:numPr>
          <w:ilvl w:val="0"/>
          <w:numId w:val="7"/>
        </w:numPr>
      </w:pPr>
      <w:r>
        <w:t>明确商业运营责任：一旦用户将本软件用于商业运营活动，授权方对于因使用本软件而产生的任何直接或间接法律责任概不承担。这包括但不限于因软件使用导致的与第三方的法律纠纷、监管合规问题以及任何因软件功能或性能引发的对用户业务造成的法律影响。被授权方在将软件投入商业运营前，应自行进行全面的法律风险评估，并采取必要措施确保其商业运营行为合法合规。</w:t>
      </w:r>
    </w:p>
    <w:p w14:paraId="0D3A60CC">
      <w:pPr>
        <w:pStyle w:val="17"/>
        <w:numPr>
          <w:ilvl w:val="0"/>
          <w:numId w:val="7"/>
        </w:numPr>
      </w:pPr>
      <w:r>
        <w:t>授权方不保证软件能够满足被授权方的特定商业需求，也不保证软件的运行不会中断或无错误。对于因软件功能或性能问题导致的任何直接或间接损失，包括但不限于业务损失、利润损失、数据丢失、商誉损害等，授权方不承担责任，除非该损失是由授权方的故意或重大过失造成的。</w:t>
      </w:r>
    </w:p>
    <w:p w14:paraId="62A03A24">
      <w:pPr>
        <w:pStyle w:val="17"/>
        <w:numPr>
          <w:ilvl w:val="0"/>
          <w:numId w:val="7"/>
        </w:numPr>
      </w:pPr>
      <w:r>
        <w:t>被授权方在使用本软件进行商业活动时，应自行评估软件对其业务的适用性和风险，并采取必要的措施来保障业务的正常运行。授权方不对被授权方的商业决策和经营结果承担任何责任。</w:t>
      </w:r>
    </w:p>
    <w:p w14:paraId="4C180967">
      <w:pPr>
        <w:pStyle w:val="3"/>
      </w:pPr>
      <w:r>
        <w:t>六、企业搭建开源产品免责声明</w:t>
      </w:r>
    </w:p>
    <w:p w14:paraId="1B133E2D">
      <w:pPr>
        <w:pStyle w:val="17"/>
        <w:numPr>
          <w:ilvl w:val="0"/>
          <w:numId w:val="8"/>
        </w:numPr>
      </w:pPr>
      <w:r>
        <w:rPr>
          <w:b/>
          <w:bCs/>
        </w:rPr>
        <w:t>兼容性相关免责</w:t>
      </w:r>
      <w:r>
        <w:t>：当企业使用本软件的开源部分搭建自身产品或系统时，授权方不保证该开源部分与企业现有的各类软件、硬件设施以及其他系统能完全兼容。企业应自行负责在搭建前进行充分的兼容性测试。因开源部分与企业现有环境不兼容所导致的任何系统故障、数据丢失、业务中断或其他相关问题，授权方不承担任何责任。</w:t>
      </w:r>
    </w:p>
    <w:p w14:paraId="13B260C8">
      <w:pPr>
        <w:pStyle w:val="17"/>
        <w:numPr>
          <w:ilvl w:val="0"/>
          <w:numId w:val="8"/>
        </w:numPr>
      </w:pPr>
      <w:r>
        <w:rPr>
          <w:b/>
          <w:bCs/>
        </w:rPr>
        <w:t>安全责任免责</w:t>
      </w:r>
      <w:r>
        <w:t>：企业在利用本软件开源部分搭建产品或系统过程中，需自行承担安全防护的责任。授权方不负责对企业搭建的基于本软件开源部分的产品或系统进行安全性评估与漏洞修复。若因企业搭建的产品或系统存在安全漏洞，进而导致数据泄露、遭受恶意攻击或其他安全事故所引发的一切损失，包括但不限于经济赔偿、法律责任、商业信誉受损等，授权方概不负责。</w:t>
      </w:r>
    </w:p>
    <w:p w14:paraId="6EACC181">
      <w:pPr>
        <w:pStyle w:val="17"/>
        <w:numPr>
          <w:ilvl w:val="0"/>
          <w:numId w:val="8"/>
        </w:numPr>
      </w:pPr>
      <w:r>
        <w:rPr>
          <w:b/>
          <w:bCs/>
        </w:rPr>
        <w:t>二次开发相关免责</w:t>
      </w:r>
      <w:r>
        <w:t>：授权方不对企业基于本软件开源部分所进行的二次开发、功能定制或代码修改所产生的任何问题或潜在风险承担责任。企业在进行二次开发等操作时，应自行确保其行为符合相关法律法规以及开源协议的规定。若因企业的二次开发等行为引发法律纠纷，或导致开源部分的稳定性、功能性受到影响，进而给企业自身或第三方造成损失的，企业应自行承担全部法律责任和经济赔偿责任。</w:t>
      </w:r>
    </w:p>
    <w:p w14:paraId="6240A24D">
      <w:pPr>
        <w:pStyle w:val="3"/>
      </w:pPr>
      <w:r>
        <w:t>七、责任限制与其他声明</w:t>
      </w:r>
    </w:p>
    <w:p w14:paraId="37C1D22D">
      <w:pPr>
        <w:pStyle w:val="17"/>
        <w:numPr>
          <w:ilvl w:val="0"/>
          <w:numId w:val="9"/>
        </w:numPr>
      </w:pPr>
      <w:r>
        <w:t>在任何情况下，授权方对被授权方因使用本软件而产生的任何间接、偶然、特殊或惩罚性的损害赔偿，无论该损害赔偿是基于合同、侵权（包括疏忽）或其他法律理论，均不承担责任，即使授权方已被告知有发生此类损害的可能性。</w:t>
      </w:r>
    </w:p>
    <w:p w14:paraId="10F4C258">
      <w:pPr>
        <w:pStyle w:val="17"/>
        <w:numPr>
          <w:ilvl w:val="0"/>
          <w:numId w:val="9"/>
        </w:numPr>
      </w:pPr>
      <w:r>
        <w:t>若本软件的部分条款被认定为无效或不可执行，不影响其他条款的有效性和可执行性。授权方和被授权方应协商替代条款，以尽可能实现原条款的目的。</w:t>
      </w:r>
    </w:p>
    <w:p w14:paraId="5DE6BF63">
      <w:pPr>
        <w:pStyle w:val="3"/>
      </w:pPr>
      <w:r>
        <w:t>八、联系方式与争议解决</w:t>
      </w:r>
    </w:p>
    <w:p w14:paraId="0D2566D0">
      <w:pPr>
        <w:pStyle w:val="17"/>
        <w:numPr>
          <w:ilvl w:val="0"/>
          <w:numId w:val="10"/>
        </w:numPr>
      </w:pPr>
      <w:r>
        <w:rPr>
          <w:b/>
          <w:bCs/>
        </w:rPr>
        <w:t>联系方式</w:t>
      </w:r>
      <w:r>
        <w:t>：如果用户在软件使用过程中有任何疑问、建议或需要获取更多关于授权的信息，欢迎随时通过以下方式与授权主体联系：</w:t>
      </w:r>
    </w:p>
    <w:p w14:paraId="227359E6">
      <w:pPr>
        <w:pStyle w:val="17"/>
        <w:numPr>
          <w:ilvl w:val="1"/>
          <w:numId w:val="4"/>
        </w:numPr>
      </w:pPr>
      <w:r>
        <w:rPr>
          <w:b/>
          <w:bCs/>
        </w:rPr>
        <w:t>微信</w:t>
      </w:r>
      <w:r>
        <w:t>：rpcjmeter（备注：APS）</w:t>
      </w:r>
    </w:p>
    <w:p w14:paraId="7D8BBAB4">
      <w:pPr>
        <w:pStyle w:val="17"/>
        <w:numPr>
          <w:ilvl w:val="1"/>
          <w:numId w:val="4"/>
        </w:numPr>
        <w:rPr>
          <w:rFonts w:hint="default"/>
          <w:lang w:val="en-US"/>
        </w:rPr>
      </w:pPr>
      <w:r>
        <w:rPr>
          <w:rFonts w:hint="eastAsia"/>
          <w:b/>
          <w:bCs/>
          <w:lang w:val="en-US" w:eastAsia="zh-CN"/>
        </w:rPr>
        <w:t>手机</w:t>
      </w:r>
      <w:r>
        <w:t>：</w:t>
      </w:r>
      <w:r>
        <w:rPr>
          <w:rFonts w:hint="eastAsia"/>
          <w:lang w:val="en-US" w:eastAsia="zh-CN"/>
        </w:rPr>
        <w:t>18616771546</w:t>
      </w:r>
    </w:p>
    <w:p w14:paraId="36673EB6">
      <w:pPr>
        <w:pStyle w:val="17"/>
        <w:numPr>
          <w:ilvl w:val="0"/>
          <w:numId w:val="11"/>
        </w:numPr>
      </w:pPr>
      <w:r>
        <w:rPr>
          <w:b/>
          <w:bCs/>
        </w:rPr>
        <w:t>争议解决</w:t>
      </w:r>
      <w:r>
        <w:t>：本授权说明的解释和执行以及双方在软件授权使用过程中产生的任何争议，均应依据 [适用法律名称] 进行解释和处理。若双方无法通过友好协商解决争议，任何一方均有权向有管辖权的人民法院提起诉讼。</w:t>
      </w:r>
    </w:p>
    <w:p w14:paraId="01875797">
      <w:pPr>
        <w:pStyle w:val="3"/>
      </w:pPr>
      <w:r>
        <w:t>九、其他条款</w:t>
      </w:r>
    </w:p>
    <w:p w14:paraId="28F403FF">
      <w:pPr>
        <w:pStyle w:val="17"/>
        <w:numPr>
          <w:ilvl w:val="0"/>
          <w:numId w:val="12"/>
        </w:numPr>
      </w:pPr>
      <w:r>
        <w:t>本授权说明自发布之日起生效。授权主体有权根据业务发展和市场需求对授权说明进行修改和更新，修改后的授权说明将在软件官方网站或相关发布渠道进行公布。用户在授权说明更新后继续使用软件，视为接受更新后的授权条款。</w:t>
      </w:r>
    </w:p>
    <w:p w14:paraId="06EB32AD">
      <w:pPr>
        <w:pStyle w:val="17"/>
        <w:numPr>
          <w:ilvl w:val="0"/>
          <w:numId w:val="12"/>
        </w:numPr>
      </w:pPr>
      <w:r>
        <w:t>本授权说明构成授权主体与用户之间关于软件使用授权的完整协议，取代之前双方就该软件使用所达成的任何口头或书面协议。</w:t>
      </w:r>
    </w:p>
    <w:p w14:paraId="1DFAB94D">
      <w:pPr>
        <w:pStyle w:val="17"/>
        <w:numPr>
          <w:numId w:val="0"/>
        </w:numPr>
        <w:ind w:leftChars="0"/>
      </w:pPr>
      <w:bookmarkStart w:id="0" w:name="_GoBack"/>
      <w:bookmarkEnd w:id="0"/>
    </w:p>
    <w:p w14:paraId="50D5757F">
      <w:pPr>
        <w:pStyle w:val="17"/>
        <w:rPr>
          <w:rFonts w:hint="eastAsia"/>
          <w:lang w:val="en-US" w:eastAsia="zh-CN"/>
        </w:rPr>
      </w:pPr>
      <w:r>
        <w:rPr>
          <w:rFonts w:hint="eastAsia"/>
          <w:lang w:val="en-US" w:eastAsia="zh-CN"/>
        </w:rPr>
        <w:t>王宝</w:t>
      </w:r>
    </w:p>
    <w:p w14:paraId="242F0128">
      <w:pPr>
        <w:pStyle w:val="17"/>
        <w:rPr>
          <w:rFonts w:hint="default"/>
          <w:lang w:val="en-US" w:eastAsia="zh-CN"/>
        </w:rPr>
      </w:pPr>
      <w:r>
        <w:rPr>
          <w:rFonts w:hint="eastAsia"/>
          <w:lang w:val="en-US" w:eastAsia="zh-CN"/>
        </w:rPr>
        <w:t>2025年3月25日</w:t>
      </w:r>
    </w:p>
    <w:sectPr>
      <w:pgSz w:w="11906" w:h="16838"/>
      <w:pgMar w:top="1440" w:right="1440" w:bottom="1440" w:left="1440" w:header="708" w:footer="70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Arial">
    <w:panose1 w:val="020B0604020202090204"/>
    <w:charset w:val="00"/>
    <w:family w:val="auto"/>
    <w:pitch w:val="default"/>
    <w:sig w:usb0="E0000AFF" w:usb1="00007843" w:usb2="00000001" w:usb3="00000000" w:csb0="400001BF" w:csb1="DFF70000"/>
  </w:font>
  <w:font w:name="等线">
    <w:altName w:val="汉仪中等线KW"/>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汉仪中等线KW">
    <w:panose1 w:val="01010104010101010101"/>
    <w:charset w:val="86"/>
    <w:family w:val="auto"/>
    <w:pitch w:val="default"/>
    <w:sig w:usb0="800002BF" w:usb1="004F7CFA" w:usb2="00000000" w:usb3="00000000" w:csb0="00040001"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D85AED"/>
    <w:multiLevelType w:val="multilevel"/>
    <w:tmpl w:val="A8D85AED"/>
    <w:lvl w:ilvl="0" w:tentative="0">
      <w:start w:val="1"/>
      <w:numFmt w:val="bullet"/>
      <w:lvlText w:val="•"/>
      <w:lvlJc w:val="left"/>
      <w:pPr>
        <w:ind w:left="288" w:hanging="288"/>
      </w:pPr>
      <w:rPr>
        <w:color w:val="3370FF"/>
        <w:sz w:val="22"/>
        <w:szCs w:val="22"/>
      </w:rPr>
    </w:lvl>
    <w:lvl w:ilvl="1" w:tentative="0">
      <w:start w:val="1"/>
      <w:numFmt w:val="bullet"/>
      <w:lvlText w:val="◦"/>
      <w:lvlJc w:val="left"/>
      <w:pPr>
        <w:ind w:left="720" w:hanging="288"/>
      </w:pPr>
      <w:rPr>
        <w:color w:val="3370FF"/>
        <w:sz w:val="22"/>
        <w:szCs w:val="22"/>
      </w:rPr>
    </w:lvl>
    <w:lvl w:ilvl="2" w:tentative="0">
      <w:start w:val="1"/>
      <w:numFmt w:val="bullet"/>
      <w:lvlText w:val="▪"/>
      <w:lvlJc w:val="left"/>
      <w:pPr>
        <w:ind w:left="1152" w:hanging="288"/>
      </w:pPr>
      <w:rPr>
        <w:color w:val="3370FF"/>
        <w:sz w:val="22"/>
        <w:szCs w:val="22"/>
      </w:rPr>
    </w:lvl>
    <w:lvl w:ilvl="3" w:tentative="0">
      <w:start w:val="1"/>
      <w:numFmt w:val="bullet"/>
      <w:lvlText w:val="•"/>
      <w:lvlJc w:val="left"/>
      <w:pPr>
        <w:ind w:left="1583" w:hanging="288"/>
      </w:pPr>
      <w:rPr>
        <w:color w:val="3370FF"/>
        <w:sz w:val="22"/>
        <w:szCs w:val="22"/>
      </w:rPr>
    </w:lvl>
    <w:lvl w:ilvl="4" w:tentative="0">
      <w:start w:val="1"/>
      <w:numFmt w:val="bullet"/>
      <w:lvlText w:val="◦"/>
      <w:lvlJc w:val="left"/>
      <w:pPr>
        <w:ind w:left="2015" w:hanging="288"/>
      </w:pPr>
      <w:rPr>
        <w:color w:val="3370FF"/>
        <w:sz w:val="22"/>
        <w:szCs w:val="22"/>
      </w:rPr>
    </w:lvl>
    <w:lvl w:ilvl="5" w:tentative="0">
      <w:start w:val="1"/>
      <w:numFmt w:val="bullet"/>
      <w:lvlText w:val="▪"/>
      <w:lvlJc w:val="left"/>
      <w:pPr>
        <w:ind w:left="2448" w:hanging="288"/>
      </w:pPr>
      <w:rPr>
        <w:color w:val="3370FF"/>
        <w:sz w:val="22"/>
        <w:szCs w:val="22"/>
      </w:rPr>
    </w:lvl>
    <w:lvl w:ilvl="6" w:tentative="0">
      <w:start w:val="1"/>
      <w:numFmt w:val="bullet"/>
      <w:lvlText w:val="•"/>
      <w:lvlJc w:val="left"/>
      <w:pPr>
        <w:ind w:left="2879" w:hanging="288"/>
      </w:pPr>
      <w:rPr>
        <w:color w:val="3370FF"/>
        <w:sz w:val="22"/>
        <w:szCs w:val="22"/>
      </w:rPr>
    </w:lvl>
    <w:lvl w:ilvl="7" w:tentative="0">
      <w:start w:val="1"/>
      <w:numFmt w:val="bullet"/>
      <w:lvlText w:val="◦"/>
      <w:lvlJc w:val="left"/>
      <w:pPr>
        <w:ind w:left="3312" w:hanging="288"/>
      </w:pPr>
      <w:rPr>
        <w:color w:val="3370FF"/>
        <w:sz w:val="22"/>
        <w:szCs w:val="22"/>
      </w:rPr>
    </w:lvl>
    <w:lvl w:ilvl="8" w:tentative="0">
      <w:start w:val="1"/>
      <w:numFmt w:val="bullet"/>
      <w:lvlText w:val="▪"/>
      <w:lvlJc w:val="left"/>
      <w:pPr>
        <w:ind w:left="3744" w:hanging="288"/>
      </w:pPr>
      <w:rPr>
        <w:color w:val="3370FF"/>
        <w:sz w:val="22"/>
        <w:szCs w:val="22"/>
      </w:rPr>
    </w:lvl>
  </w:abstractNum>
  <w:abstractNum w:abstractNumId="1">
    <w:nsid w:val="5F969B61"/>
    <w:multiLevelType w:val="multilevel"/>
    <w:tmpl w:val="5F969B61"/>
    <w:lvl w:ilvl="0" w:tentative="0">
      <w:start w:val="1"/>
      <w:numFmt w:val="decimal"/>
      <w:lvlText w:val="%1."/>
      <w:lvlJc w:val="left"/>
      <w:pPr>
        <w:ind w:left="288" w:hanging="288"/>
      </w:pPr>
      <w:rPr>
        <w:color w:val="3370FF"/>
        <w:sz w:val="22"/>
        <w:szCs w:val="22"/>
      </w:rPr>
    </w:lvl>
    <w:lvl w:ilvl="1" w:tentative="0">
      <w:start w:val="1"/>
      <w:numFmt w:val="lowerLetter"/>
      <w:lvlText w:val="%2."/>
      <w:lvlJc w:val="left"/>
      <w:pPr>
        <w:ind w:left="720" w:hanging="288"/>
      </w:pPr>
      <w:rPr>
        <w:color w:val="3370FF"/>
        <w:sz w:val="22"/>
        <w:szCs w:val="22"/>
      </w:rPr>
    </w:lvl>
    <w:lvl w:ilvl="2" w:tentative="0">
      <w:start w:val="1"/>
      <w:numFmt w:val="lowerRoman"/>
      <w:lvlText w:val="%3."/>
      <w:lvlJc w:val="left"/>
      <w:pPr>
        <w:ind w:left="1152" w:hanging="288"/>
      </w:pPr>
      <w:rPr>
        <w:color w:val="3370FF"/>
        <w:sz w:val="22"/>
        <w:szCs w:val="22"/>
      </w:rPr>
    </w:lvl>
    <w:lvl w:ilvl="3" w:tentative="0">
      <w:start w:val="1"/>
      <w:numFmt w:val="decimal"/>
      <w:lvlText w:val="%4."/>
      <w:lvlJc w:val="left"/>
      <w:pPr>
        <w:ind w:left="1583" w:hanging="288"/>
      </w:pPr>
      <w:rPr>
        <w:color w:val="3370FF"/>
        <w:sz w:val="22"/>
        <w:szCs w:val="22"/>
      </w:rPr>
    </w:lvl>
    <w:lvl w:ilvl="4" w:tentative="0">
      <w:start w:val="1"/>
      <w:numFmt w:val="lowerLetter"/>
      <w:lvlText w:val="%5."/>
      <w:lvlJc w:val="left"/>
      <w:pPr>
        <w:ind w:left="2015" w:hanging="288"/>
      </w:pPr>
      <w:rPr>
        <w:color w:val="3370FF"/>
        <w:sz w:val="22"/>
        <w:szCs w:val="22"/>
      </w:rPr>
    </w:lvl>
    <w:lvl w:ilvl="5" w:tentative="0">
      <w:start w:val="1"/>
      <w:numFmt w:val="lowerRoman"/>
      <w:lvlText w:val="%6."/>
      <w:lvlJc w:val="left"/>
      <w:pPr>
        <w:ind w:left="2448" w:hanging="288"/>
      </w:pPr>
      <w:rPr>
        <w:color w:val="3370FF"/>
        <w:sz w:val="22"/>
        <w:szCs w:val="22"/>
      </w:rPr>
    </w:lvl>
    <w:lvl w:ilvl="6" w:tentative="0">
      <w:start w:val="1"/>
      <w:numFmt w:val="decimal"/>
      <w:lvlText w:val="%7."/>
      <w:lvlJc w:val="left"/>
      <w:pPr>
        <w:ind w:left="2879" w:hanging="288"/>
      </w:pPr>
      <w:rPr>
        <w:color w:val="3370FF"/>
        <w:sz w:val="22"/>
        <w:szCs w:val="22"/>
      </w:rPr>
    </w:lvl>
    <w:lvl w:ilvl="7" w:tentative="0">
      <w:start w:val="1"/>
      <w:numFmt w:val="lowerLetter"/>
      <w:lvlText w:val="%8."/>
      <w:lvlJc w:val="left"/>
      <w:pPr>
        <w:ind w:left="3312" w:hanging="288"/>
      </w:pPr>
      <w:rPr>
        <w:color w:val="3370FF"/>
        <w:sz w:val="22"/>
        <w:szCs w:val="22"/>
      </w:rPr>
    </w:lvl>
    <w:lvl w:ilvl="8" w:tentative="0">
      <w:start w:val="1"/>
      <w:numFmt w:val="lowerRoman"/>
      <w:lvlText w:val="%9."/>
      <w:lvlJc w:val="left"/>
      <w:pPr>
        <w:ind w:left="3744" w:hanging="288"/>
      </w:pPr>
      <w:rPr>
        <w:color w:val="3370FF"/>
        <w:sz w:val="22"/>
        <w:szCs w:val="22"/>
      </w:rPr>
    </w:lvl>
  </w:abstractNum>
  <w:num w:numId="1">
    <w:abstractNumId w:val="1"/>
    <w:lvlOverride w:ilvl="0">
      <w:startOverride w:val="1"/>
    </w:lvlOverride>
  </w:num>
  <w:num w:numId="2">
    <w:abstractNumId w:val="1"/>
    <w:lvlOverride w:ilvl="0">
      <w:startOverride w:val="1"/>
    </w:lvlOverride>
  </w:num>
  <w:num w:numId="3">
    <w:abstractNumId w:val="1"/>
    <w:lvlOverride w:ilvl="0">
      <w:startOverride w:val="1"/>
    </w:lvlOverride>
  </w:num>
  <w:num w:numId="4">
    <w:abstractNumId w:val="0"/>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8"/>
  <w:displayBackgroundShape w:val="1"/>
  <w:documentProtection w:enforcement="0"/>
  <w:compat>
    <w:useFELayout/>
    <w:compatSetting w:name="compatibilityMode" w:uri="http://schemas.microsoft.com/office/word" w:val="15"/>
  </w:compat>
  <w:rsids>
    <w:rsidRoot w:val="00000000"/>
    <w:rsid w:val="6F3C5C7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paragraph" w:styleId="2">
    <w:name w:val="heading 1"/>
    <w:next w:val="1"/>
    <w:qFormat/>
    <w:uiPriority w:val="0"/>
    <w:pPr>
      <w:spacing w:before="380" w:after="140" w:line="288" w:lineRule="auto"/>
      <w:ind w:left="0"/>
      <w:jc w:val="left"/>
      <w:outlineLvl w:val="0"/>
    </w:pPr>
    <w:rPr>
      <w:rFonts w:ascii="Arial" w:hAnsi="Arial" w:eastAsia="等线" w:cs="Arial"/>
      <w:b/>
      <w:bCs/>
      <w:sz w:val="36"/>
      <w:szCs w:val="36"/>
    </w:rPr>
  </w:style>
  <w:style w:type="paragraph" w:styleId="3">
    <w:name w:val="heading 2"/>
    <w:next w:val="1"/>
    <w:qFormat/>
    <w:uiPriority w:val="0"/>
    <w:pPr>
      <w:spacing w:before="320" w:after="120" w:line="288" w:lineRule="auto"/>
      <w:ind w:left="0"/>
      <w:jc w:val="left"/>
      <w:outlineLvl w:val="1"/>
    </w:pPr>
    <w:rPr>
      <w:rFonts w:ascii="Arial" w:hAnsi="Arial" w:eastAsia="等线" w:cs="Arial"/>
      <w:b/>
      <w:bCs/>
      <w:sz w:val="32"/>
      <w:szCs w:val="32"/>
    </w:rPr>
  </w:style>
  <w:style w:type="paragraph" w:styleId="4">
    <w:name w:val="heading 3"/>
    <w:next w:val="1"/>
    <w:qFormat/>
    <w:uiPriority w:val="0"/>
    <w:pPr>
      <w:spacing w:before="300" w:after="120" w:line="288" w:lineRule="auto"/>
      <w:ind w:left="0"/>
      <w:jc w:val="left"/>
      <w:outlineLvl w:val="2"/>
    </w:pPr>
    <w:rPr>
      <w:rFonts w:ascii="Arial" w:hAnsi="Arial" w:eastAsia="等线" w:cs="Arial"/>
      <w:b/>
      <w:bCs/>
      <w:sz w:val="30"/>
      <w:szCs w:val="30"/>
    </w:rPr>
  </w:style>
  <w:style w:type="paragraph" w:styleId="5">
    <w:name w:val="heading 4"/>
    <w:next w:val="1"/>
    <w:qFormat/>
    <w:uiPriority w:val="0"/>
    <w:pPr>
      <w:spacing w:before="260" w:after="120" w:line="288" w:lineRule="auto"/>
      <w:ind w:left="0"/>
      <w:jc w:val="left"/>
      <w:outlineLvl w:val="3"/>
    </w:pPr>
    <w:rPr>
      <w:rFonts w:ascii="Arial" w:hAnsi="Arial" w:eastAsia="等线" w:cs="Arial"/>
      <w:b/>
      <w:bCs/>
      <w:sz w:val="28"/>
      <w:szCs w:val="28"/>
    </w:rPr>
  </w:style>
  <w:style w:type="paragraph" w:styleId="6">
    <w:name w:val="heading 5"/>
    <w:next w:val="1"/>
    <w:qFormat/>
    <w:uiPriority w:val="0"/>
    <w:pPr>
      <w:spacing w:before="240" w:after="120" w:line="288" w:lineRule="auto"/>
      <w:ind w:left="0"/>
      <w:jc w:val="left"/>
      <w:outlineLvl w:val="4"/>
    </w:pPr>
    <w:rPr>
      <w:rFonts w:ascii="Arial" w:hAnsi="Arial" w:eastAsia="等线" w:cs="Arial"/>
      <w:b/>
      <w:bCs/>
      <w:sz w:val="24"/>
      <w:szCs w:val="24"/>
    </w:rPr>
  </w:style>
  <w:style w:type="paragraph" w:styleId="7">
    <w:name w:val="heading 6"/>
    <w:next w:val="1"/>
    <w:qFormat/>
    <w:uiPriority w:val="0"/>
    <w:pPr>
      <w:spacing w:before="240" w:after="120" w:line="288" w:lineRule="auto"/>
      <w:ind w:left="0"/>
      <w:jc w:val="left"/>
      <w:outlineLvl w:val="5"/>
    </w:pPr>
    <w:rPr>
      <w:rFonts w:ascii="Arial" w:hAnsi="Arial" w:eastAsia="等线" w:cs="Arial"/>
      <w:b/>
      <w:bCs/>
      <w:sz w:val="24"/>
      <w:szCs w:val="24"/>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8">
    <w:name w:val="footnote text"/>
    <w:link w:val="16"/>
    <w:semiHidden/>
    <w:unhideWhenUsed/>
    <w:uiPriority w:val="99"/>
    <w:pPr>
      <w:spacing w:after="0" w:line="240" w:lineRule="auto"/>
    </w:pPr>
    <w:rPr>
      <w:sz w:val="20"/>
      <w:szCs w:val="20"/>
    </w:rPr>
  </w:style>
  <w:style w:type="paragraph" w:styleId="9">
    <w:name w:val="Title"/>
    <w:qFormat/>
    <w:uiPriority w:val="0"/>
    <w:pPr>
      <w:spacing w:before="480" w:after="480" w:line="288" w:lineRule="auto"/>
      <w:ind w:left="0"/>
    </w:pPr>
    <w:rPr>
      <w:rFonts w:ascii="Arial" w:hAnsi="Arial" w:eastAsia="等线" w:cs="Arial"/>
      <w:b/>
      <w:bCs/>
      <w:sz w:val="52"/>
      <w:szCs w:val="52"/>
    </w:rPr>
  </w:style>
  <w:style w:type="character" w:styleId="12">
    <w:name w:val="FollowedHyperlink"/>
    <w:basedOn w:val="11"/>
    <w:uiPriority w:val="0"/>
    <w:rPr>
      <w:color w:val="800080"/>
      <w:u w:val="single"/>
    </w:rPr>
  </w:style>
  <w:style w:type="character" w:styleId="13">
    <w:name w:val="Hyperlink"/>
    <w:unhideWhenUsed/>
    <w:uiPriority w:val="99"/>
    <w:rPr>
      <w:color w:val="0563C1"/>
      <w:u w:val="single"/>
    </w:rPr>
  </w:style>
  <w:style w:type="character" w:styleId="14">
    <w:name w:val="footnote reference"/>
    <w:semiHidden/>
    <w:unhideWhenUsed/>
    <w:uiPriority w:val="99"/>
    <w:rPr>
      <w:vertAlign w:val="superscript"/>
    </w:rPr>
  </w:style>
  <w:style w:type="paragraph" w:styleId="15">
    <w:name w:val="List Paragraph"/>
    <w:qFormat/>
    <w:uiPriority w:val="0"/>
    <w:rPr>
      <w:sz w:val="21"/>
      <w:szCs w:val="22"/>
    </w:rPr>
  </w:style>
  <w:style w:type="character" w:customStyle="1" w:styleId="16">
    <w:name w:val="Footnote Text Char"/>
    <w:link w:val="8"/>
    <w:semiHidden/>
    <w:unhideWhenUsed/>
    <w:uiPriority w:val="99"/>
    <w:rPr>
      <w:sz w:val="20"/>
      <w:szCs w:val="20"/>
    </w:rPr>
  </w:style>
  <w:style w:type="paragraph" w:customStyle="1" w:styleId="17">
    <w:name w:val="_Style 13"/>
    <w:uiPriority w:val="0"/>
    <w:pPr>
      <w:spacing w:before="120" w:after="120" w:line="288" w:lineRule="auto"/>
      <w:ind w:left="0"/>
      <w:jc w:val="left"/>
    </w:pPr>
    <w:rPr>
      <w:rFonts w:ascii="Arial" w:hAnsi="Arial" w:eastAsia="等线" w:cs="Arial"/>
      <w:sz w:val="22"/>
      <w:szCs w:val="22"/>
    </w:rPr>
  </w:style>
  <w:style w:type="paragraph" w:customStyle="1" w:styleId="18">
    <w:name w:val="_Style 14"/>
    <w:uiPriority w:val="0"/>
    <w:pPr>
      <w:spacing w:before="120" w:after="120" w:line="288" w:lineRule="auto"/>
      <w:ind w:left="0"/>
      <w:jc w:val="left"/>
    </w:pPr>
    <w:rPr>
      <w:rFonts w:ascii="Arial" w:hAnsi="Arial" w:eastAsia="等线" w:cs="Arial"/>
      <w:color w:val="8F959E"/>
      <w:sz w:val="22"/>
      <w:szCs w:val="2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3</Pages>
  <TotalTime>91</TotalTime>
  <ScaleCrop>false</ScaleCrop>
  <LinksUpToDate>false</LinksUpToDate>
  <Application>WPS Office_7.2.2.8955_F1E327BC-269C-435d-A152-05C5408002CA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然道长</cp:lastModifiedBy>
  <dcterms:modified xsi:type="dcterms:W3CDTF">2025-03-25T13:12:14Z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2052-7.2.2.8955</vt:lpwstr>
  </property>
  <property fmtid="{D5CDD505-2E9C-101B-9397-08002B2CF9AE}" pid="3" name="ICV">
    <vt:lpwstr>7690AB7439961E8B2E3BE267B26475F8_42</vt:lpwstr>
  </property>
</Properties>
</file>