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Anexo 2 — Propuesta Técnica</w:t>
      </w:r>
    </w:p>
    <w:p>
      <w:pPr>
        <w:spacing w:after="80"/>
        <w:jc w:val="center"/>
      </w:pPr>
      <w:r>
        <w:rPr>
          <w:i/>
          <w:iCs/>
          <w:color w:val="555555"/>
          <w:sz w:val="21"/>
          <w:szCs w:val="21"/>
        </w:rPr>
        <w:t xml:space="preserve">Proyecto PreVe — Sistema predictivo de seguridad para juventudes urbanas</w:t>
      </w:r>
    </w:p>
    <w:p>
      <w:pPr>
        <w:pBdr>
          <w:bottom w:val="single" w:color="2563EB" w:sz="12" w:space="4"/>
        </w:pBdr>
        <w:spacing w:after="320"/>
        <w:jc w:val="center"/>
      </w:pPr>
      <w:r>
        <w:rPr>
          <w:color w:val="555555"/>
          <w:sz w:val="20"/>
          <w:szCs w:val="20"/>
        </w:rPr>
        <w:t xml:space="preserve">Hackathon RedPública (PNUD) — Edición Seguridad Ciudadana</w:t>
      </w:r>
    </w:p>
    <w:p>
      <w:pPr>
        <w:spacing w:after="160" w:line="276"/>
        <w:jc w:val="both"/>
      </w:pPr>
      <w:r>
        <w:rPr>
          <w:sz w:val="22"/>
          <w:szCs w:val="22"/>
        </w:rPr>
        <w:t xml:space="preserve">Documento que desarrolla los puntos B (Solución propuesta), C (Resultados esperados) y E (Presupuesto detallado) del Plan de Trabajo del Anexo 2. Se complementa con el documento del Punto A, el Anexo de análisis detallado, el dataset Excel, el notebook de Machine Learning y el prototipo web interactivo, todos parte del paquete técnico de la postulación.</w:t>
      </w:r>
    </w:p>
    <w:p>
      <w:pPr>
        <w:pStyle w:val="Heading1"/>
      </w:pPr>
      <w:r>
        <w:t xml:space="preserve">B. Solución Propuesta</w:t>
      </w:r>
    </w:p>
    <w:p>
      <w:pPr>
        <w:spacing w:after="160" w:line="276"/>
        <w:jc w:val="both"/>
      </w:pPr>
      <w:r>
        <w:rPr>
          <w:b/>
          <w:bCs/>
          <w:sz w:val="22"/>
          <w:szCs w:val="22"/>
        </w:rPr>
        <w:t xml:space="preserve">PreVe </w:t>
      </w:r>
      <w:r>
        <w:rPr>
          <w:sz w:val="22"/>
          <w:szCs w:val="22"/>
        </w:rPr>
        <w:t xml:space="preserve">es un sistema predictivo de seguridad ciudadana enfocado en juventudes que anticipa zonas, rutas y horarios de riesgo para jóvenes de 15 a 29 años en Lima Centro, transformando reportes ciudadanos en alertas tempranas antes de que ocurra el delito. La propuesta nace de tres constataciones empíricas: (</w:t>
      </w:r>
      <w:r>
        <w:rPr>
          <w:i/>
          <w:iCs/>
          <w:sz w:val="22"/>
          <w:szCs w:val="22"/>
        </w:rPr>
        <w:t xml:space="preserve">i</w:t>
      </w:r>
      <w:r>
        <w:rPr>
          <w:sz w:val="22"/>
          <w:szCs w:val="22"/>
        </w:rPr>
        <w:t xml:space="preserve">) la victimización juvenil es desproporcionadamente alta y se concentra en trayectos cotidianos universidad-paradero-trabajo; (</w:t>
      </w:r>
      <w:r>
        <w:rPr>
          <w:i/>
          <w:iCs/>
          <w:sz w:val="22"/>
          <w:szCs w:val="22"/>
        </w:rPr>
        <w:t xml:space="preserve">ii</w:t>
      </w:r>
      <w:r>
        <w:rPr>
          <w:sz w:val="22"/>
          <w:szCs w:val="22"/>
        </w:rPr>
        <w:t xml:space="preserve">) las apps existentes son reactivas (registran lo que ya ocurrió); y (</w:t>
      </w:r>
      <w:r>
        <w:rPr>
          <w:i/>
          <w:iCs/>
          <w:sz w:val="22"/>
          <w:szCs w:val="22"/>
        </w:rPr>
        <w:t xml:space="preserve">iii</w:t>
      </w:r>
      <w:r>
        <w:rPr>
          <w:sz w:val="22"/>
          <w:szCs w:val="22"/>
        </w:rPr>
        <w:t xml:space="preserve">) el subregistro masivo del 84 % impide diseñar prevención efectiva. PreVe responde con un modelo predictivo, accesible vía WhatsApp y centrado en la juventud.</w:t>
      </w:r>
    </w:p>
    <w:p>
      <w:pPr>
        <w:pStyle w:val="Heading2"/>
      </w:pPr>
      <w:r>
        <w:t xml:space="preserve">Diferencial frente a soluciones existentes</w:t>
      </w:r>
    </w:p>
    <w:p>
      <w:pPr>
        <w:spacing w:after="160" w:line="276"/>
        <w:jc w:val="both"/>
      </w:pPr>
      <w:r>
        <w:rPr>
          <w:sz w:val="22"/>
          <w:szCs w:val="22"/>
        </w:rPr>
        <w:t xml:space="preserve">A diferencia de las apps de serenazgo, alarmas vecinales o sistemas de denuncia tradicional, PreVe combina tres atributos que no aparecen juntos en ninguna solución actual del mercado peruano: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3C6E" w:val="clear"/>
          </w:tcPr>
          <w:p>
            <w:pPr>
              <w:spacing w:after="0" w:line="240"/>
              <w:jc w:val="left"/>
            </w:pPr>
            <w:r>
              <w:rPr>
                <w:b/>
                <w:bCs/>
                <w:color w:val="FFFFFF"/>
                <w:sz w:val="19"/>
                <w:szCs w:val="19"/>
              </w:rPr>
              <w:t xml:space="preserve">Atributo</w:t>
            </w:r>
          </w:p>
        </w:tc>
        <w:tc>
          <w:tcPr>
            <w:tcW w:type="pct" w:w="35%"/>
            <w:shd w:fill="1A3C6E" w:val="clear"/>
          </w:tcPr>
          <w:p>
            <w:pPr>
              <w:spacing w:after="0" w:line="240"/>
              <w:jc w:val="center"/>
            </w:pPr>
            <w:r>
              <w:rPr>
                <w:b/>
                <w:bCs/>
                <w:color w:val="FFFFFF"/>
                <w:sz w:val="19"/>
                <w:szCs w:val="19"/>
              </w:rPr>
              <w:t xml:space="preserve">Apps existentes</w:t>
            </w:r>
          </w:p>
        </w:tc>
        <w:tc>
          <w:tcPr>
            <w:tcW w:type="pct" w:w="40%"/>
            <w:shd w:fill="1A3C6E" w:val="clear"/>
          </w:tcPr>
          <w:p>
            <w:pPr>
              <w:spacing w:after="0" w:line="240"/>
              <w:jc w:val="center"/>
            </w:pPr>
            <w:r>
              <w:rPr>
                <w:b/>
                <w:bCs/>
                <w:color w:val="FFFFFF"/>
                <w:sz w:val="19"/>
                <w:szCs w:val="19"/>
              </w:rPr>
              <w:t xml:space="preserve">PreVe</w:t>
            </w:r>
          </w:p>
        </w:tc>
      </w:tr>
      <w:tr>
        <w:tc>
          <w:tcPr>
            <w:tcW w:type="pct" w:w="25%"/>
          </w:tcPr>
          <w:p>
            <w:pPr>
              <w:spacing w:after="0" w:line="240"/>
              <w:jc w:val="left"/>
            </w:pPr>
            <w:r>
              <w:rPr>
                <w:b/>
                <w:bCs/>
                <w:color w:val="000000"/>
                <w:sz w:val="19"/>
                <w:szCs w:val="19"/>
              </w:rPr>
              <w:t xml:space="preserve">Lógica</w:t>
            </w:r>
          </w:p>
        </w:tc>
        <w:tc>
          <w:tcPr>
            <w:tcW w:type="pct" w:w="35%"/>
          </w:tcPr>
          <w:p>
            <w:pPr>
              <w:spacing w:after="0" w:line="240"/>
              <w:jc w:val="center"/>
            </w:pPr>
            <w:r>
              <w:rPr>
                <w:b w:val="false"/>
                <w:bCs w:val="false"/>
                <w:color w:val="000000"/>
                <w:sz w:val="19"/>
                <w:szCs w:val="19"/>
              </w:rPr>
              <w:t xml:space="preserve">Reactiva (registra lo que ya pasó)</w:t>
            </w:r>
          </w:p>
        </w:tc>
        <w:tc>
          <w:tcPr>
            <w:tcW w:type="pct" w:w="40%"/>
            <w:shd w:fill="E0F2FE" w:val="clear"/>
          </w:tcPr>
          <w:p>
            <w:pPr>
              <w:spacing w:after="0" w:line="240"/>
              <w:jc w:val="center"/>
            </w:pPr>
            <w:r>
              <w:rPr>
                <w:b/>
                <w:bCs/>
                <w:color w:val="000000"/>
                <w:sz w:val="19"/>
                <w:szCs w:val="19"/>
              </w:rPr>
              <w:t xml:space="preserve">Predictiva (anticipa el riesgo)</w:t>
            </w:r>
          </w:p>
        </w:tc>
      </w:tr>
      <w:tr>
        <w:tc>
          <w:tcPr>
            <w:tcW w:type="pct" w:w="25%"/>
          </w:tcPr>
          <w:p>
            <w:pPr>
              <w:spacing w:after="0" w:line="240"/>
              <w:jc w:val="left"/>
            </w:pPr>
            <w:r>
              <w:rPr>
                <w:b/>
                <w:bCs/>
                <w:color w:val="000000"/>
                <w:sz w:val="19"/>
                <w:szCs w:val="19"/>
              </w:rPr>
              <w:t xml:space="preserve">Público objetivo</w:t>
            </w:r>
          </w:p>
        </w:tc>
        <w:tc>
          <w:tcPr>
            <w:tcW w:type="pct" w:w="35%"/>
          </w:tcPr>
          <w:p>
            <w:pPr>
              <w:spacing w:after="0" w:line="240"/>
              <w:jc w:val="center"/>
            </w:pPr>
            <w:r>
              <w:rPr>
                <w:b w:val="false"/>
                <w:bCs w:val="false"/>
                <w:color w:val="000000"/>
                <w:sz w:val="19"/>
                <w:szCs w:val="19"/>
              </w:rPr>
              <w:t xml:space="preserve">Población general</w:t>
            </w:r>
          </w:p>
        </w:tc>
        <w:tc>
          <w:tcPr>
            <w:tcW w:type="pct" w:w="40%"/>
            <w:shd w:fill="E0F2FE" w:val="clear"/>
          </w:tcPr>
          <w:p>
            <w:pPr>
              <w:spacing w:after="0" w:line="240"/>
              <w:jc w:val="center"/>
            </w:pPr>
            <w:r>
              <w:rPr>
                <w:b/>
                <w:bCs/>
                <w:color w:val="000000"/>
                <w:sz w:val="19"/>
                <w:szCs w:val="19"/>
              </w:rPr>
              <w:t xml:space="preserve">Juventudes (15-29 años) — alineado con PNUD</w:t>
            </w:r>
          </w:p>
        </w:tc>
      </w:tr>
      <w:tr>
        <w:tc>
          <w:tcPr>
            <w:tcW w:type="pct" w:w="25%"/>
          </w:tcPr>
          <w:p>
            <w:pPr>
              <w:spacing w:after="0" w:line="240"/>
              <w:jc w:val="left"/>
            </w:pPr>
            <w:r>
              <w:rPr>
                <w:b/>
                <w:bCs/>
                <w:color w:val="000000"/>
                <w:sz w:val="19"/>
                <w:szCs w:val="19"/>
              </w:rPr>
              <w:t xml:space="preserve">Canal de reporte</w:t>
            </w:r>
          </w:p>
        </w:tc>
        <w:tc>
          <w:tcPr>
            <w:tcW w:type="pct" w:w="35%"/>
          </w:tcPr>
          <w:p>
            <w:pPr>
              <w:spacing w:after="0" w:line="240"/>
              <w:jc w:val="center"/>
            </w:pPr>
            <w:r>
              <w:rPr>
                <w:b w:val="false"/>
                <w:bCs w:val="false"/>
                <w:color w:val="000000"/>
                <w:sz w:val="19"/>
                <w:szCs w:val="19"/>
              </w:rPr>
              <w:t xml:space="preserve">App con descarga obligatoria</w:t>
            </w:r>
          </w:p>
        </w:tc>
        <w:tc>
          <w:tcPr>
            <w:tcW w:type="pct" w:w="40%"/>
            <w:shd w:fill="E0F2FE" w:val="clear"/>
          </w:tcPr>
          <w:p>
            <w:pPr>
              <w:spacing w:after="0" w:line="240"/>
              <w:jc w:val="center"/>
            </w:pPr>
            <w:r>
              <w:rPr>
                <w:b/>
                <w:bCs/>
                <w:color w:val="000000"/>
                <w:sz w:val="19"/>
                <w:szCs w:val="19"/>
              </w:rPr>
              <w:t xml:space="preserve">WhatsApp + lenguaje natural (sin descargas)</w:t>
            </w:r>
          </w:p>
        </w:tc>
      </w:tr>
      <w:tr>
        <w:tc>
          <w:tcPr>
            <w:tcW w:type="pct" w:w="25%"/>
          </w:tcPr>
          <w:p>
            <w:pPr>
              <w:spacing w:after="0" w:line="240"/>
              <w:jc w:val="left"/>
            </w:pPr>
            <w:r>
              <w:rPr>
                <w:b/>
                <w:bCs/>
                <w:color w:val="000000"/>
                <w:sz w:val="19"/>
                <w:szCs w:val="19"/>
              </w:rPr>
              <w:t xml:space="preserve">Inteligencia</w:t>
            </w:r>
          </w:p>
        </w:tc>
        <w:tc>
          <w:tcPr>
            <w:tcW w:type="pct" w:w="35%"/>
          </w:tcPr>
          <w:p>
            <w:pPr>
              <w:spacing w:after="0" w:line="240"/>
              <w:jc w:val="center"/>
            </w:pPr>
            <w:r>
              <w:rPr>
                <w:b w:val="false"/>
                <w:bCs w:val="false"/>
                <w:color w:val="000000"/>
                <w:sz w:val="19"/>
                <w:szCs w:val="19"/>
              </w:rPr>
              <w:t xml:space="preserve">Listado de incidentes</w:t>
            </w:r>
          </w:p>
        </w:tc>
        <w:tc>
          <w:tcPr>
            <w:tcW w:type="pct" w:w="40%"/>
            <w:shd w:fill="E0F2FE" w:val="clear"/>
          </w:tcPr>
          <w:p>
            <w:pPr>
              <w:spacing w:after="0" w:line="240"/>
              <w:jc w:val="center"/>
            </w:pPr>
            <w:r>
              <w:rPr>
                <w:b/>
                <w:bCs/>
                <w:color w:val="000000"/>
                <w:sz w:val="19"/>
                <w:szCs w:val="19"/>
              </w:rPr>
              <w:t xml:space="preserve">Modelos ML (Random Forest + Logística + K-Means)</w:t>
            </w:r>
          </w:p>
        </w:tc>
      </w:tr>
    </w:tbl>
    <w:p>
      <w:pPr>
        <w:pStyle w:val="Heading2"/>
      </w:pPr>
      <w:r>
        <w:t xml:space="preserve">Componentes de la solución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A3C6E" w:val="clear"/>
          </w:tcPr>
          <w:p>
            <w:pPr>
              <w:spacing w:after="0" w:line="240"/>
              <w:jc w:val="left"/>
            </w:pPr>
            <w:r>
              <w:rPr>
                <w:b/>
                <w:bCs/>
                <w:color w:val="FFFFFF"/>
                <w:sz w:val="19"/>
                <w:szCs w:val="19"/>
              </w:rPr>
              <w:t xml:space="preserve">Componente</w:t>
            </w:r>
          </w:p>
        </w:tc>
        <w:tc>
          <w:tcPr>
            <w:tcW w:type="pct" w:w="30%"/>
            <w:shd w:fill="1A3C6E" w:val="clear"/>
          </w:tcPr>
          <w:p>
            <w:pPr>
              <w:spacing w:after="0" w:line="240"/>
              <w:jc w:val="left"/>
            </w:pPr>
            <w:r>
              <w:rPr>
                <w:b/>
                <w:bCs/>
                <w:color w:val="FFFFFF"/>
                <w:sz w:val="19"/>
                <w:szCs w:val="19"/>
              </w:rPr>
              <w:t xml:space="preserve">Tecnología</w:t>
            </w:r>
          </w:p>
        </w:tc>
        <w:tc>
          <w:tcPr>
            <w:tcW w:type="pct" w:w="44%"/>
            <w:shd w:fill="1A3C6E" w:val="clear"/>
          </w:tcPr>
          <w:p>
            <w:pPr>
              <w:spacing w:after="0" w:line="240"/>
              <w:jc w:val="left"/>
            </w:pPr>
            <w:r>
              <w:rPr>
                <w:b/>
                <w:bCs/>
                <w:color w:val="FFFFFF"/>
                <w:sz w:val="19"/>
                <w:szCs w:val="19"/>
              </w:rPr>
              <w:t xml:space="preserve">Función con foco juvenil</w:t>
            </w:r>
          </w:p>
        </w:tc>
      </w:tr>
      <w:tr>
        <w:tc>
          <w:tcPr>
            <w:tcW w:type="pct" w:w="26%"/>
          </w:tcPr>
          <w:p>
            <w:pPr>
              <w:spacing w:after="0" w:line="240"/>
              <w:jc w:val="left"/>
            </w:pPr>
            <w:r>
              <w:rPr>
                <w:b/>
                <w:bCs/>
                <w:color w:val="000000"/>
                <w:sz w:val="19"/>
                <w:szCs w:val="19"/>
              </w:rPr>
              <w:t xml:space="preserve">Chatbot IA por WhatsApp</w:t>
            </w:r>
          </w:p>
        </w:tc>
        <w:tc>
          <w:tcPr>
            <w:tcW w:type="pct" w:w="30%"/>
          </w:tcPr>
          <w:p>
            <w:pPr>
              <w:spacing w:after="0" w:line="240"/>
              <w:jc w:val="left"/>
            </w:pPr>
            <w:r>
              <w:rPr>
                <w:b w:val="false"/>
                <w:bCs w:val="false"/>
                <w:color w:val="000000"/>
                <w:sz w:val="19"/>
                <w:szCs w:val="19"/>
              </w:rPr>
              <w:t xml:space="preserve">Twilio API + NLP</w:t>
            </w:r>
          </w:p>
        </w:tc>
        <w:tc>
          <w:tcPr>
            <w:tcW w:type="pct" w:w="44%"/>
          </w:tcPr>
          <w:p>
            <w:pPr>
              <w:spacing w:after="0" w:line="240"/>
              <w:jc w:val="left"/>
            </w:pPr>
            <w:r>
              <w:rPr>
                <w:b w:val="false"/>
                <w:bCs w:val="false"/>
                <w:color w:val="000000"/>
                <w:sz w:val="19"/>
                <w:szCs w:val="19"/>
              </w:rPr>
              <w:t xml:space="preserve">Recibe reportes en lenguaje natural; identifica si el reporte involucra a un joven o se ubica cerca de una universidad/paradero.</w:t>
            </w:r>
          </w:p>
        </w:tc>
      </w:tr>
      <w:tr>
        <w:tc>
          <w:tcPr>
            <w:tcW w:type="pct" w:w="26%"/>
          </w:tcPr>
          <w:p>
            <w:pPr>
              <w:spacing w:after="0" w:line="240"/>
              <w:jc w:val="left"/>
            </w:pPr>
            <w:r>
              <w:rPr>
                <w:b/>
                <w:bCs/>
                <w:color w:val="000000"/>
                <w:sz w:val="19"/>
                <w:szCs w:val="19"/>
              </w:rPr>
              <w:t xml:space="preserve">Plataforma web + mapa de calor juvenil</w:t>
            </w:r>
          </w:p>
        </w:tc>
        <w:tc>
          <w:tcPr>
            <w:tcW w:type="pct" w:w="30%"/>
          </w:tcPr>
          <w:p>
            <w:pPr>
              <w:spacing w:after="0" w:line="240"/>
              <w:jc w:val="left"/>
            </w:pPr>
            <w:r>
              <w:rPr>
                <w:b w:val="false"/>
                <w:bCs w:val="false"/>
                <w:color w:val="000000"/>
                <w:sz w:val="19"/>
                <w:szCs w:val="19"/>
              </w:rPr>
              <w:t xml:space="preserve">React (PWA) + Google Maps</w:t>
            </w:r>
          </w:p>
        </w:tc>
        <w:tc>
          <w:tcPr>
            <w:tcW w:type="pct" w:w="44%"/>
          </w:tcPr>
          <w:p>
            <w:pPr>
              <w:spacing w:after="0" w:line="240"/>
              <w:jc w:val="left"/>
            </w:pPr>
            <w:r>
              <w:rPr>
                <w:b w:val="false"/>
                <w:bCs w:val="false"/>
                <w:color w:val="000000"/>
                <w:sz w:val="19"/>
                <w:szCs w:val="19"/>
              </w:rPr>
              <w:t xml:space="preserve">Visualiza rutas y zonas críticas específicamente para jóvenes (universidad-paradero-trabajo), con vistas diferenciadas por horario estudiantil.</w:t>
            </w:r>
          </w:p>
        </w:tc>
      </w:tr>
      <w:tr>
        <w:tc>
          <w:tcPr>
            <w:tcW w:type="pct" w:w="26%"/>
          </w:tcPr>
          <w:p>
            <w:pPr>
              <w:spacing w:after="0" w:line="240"/>
              <w:jc w:val="left"/>
            </w:pPr>
            <w:r>
              <w:rPr>
                <w:b/>
                <w:bCs/>
                <w:color w:val="000000"/>
                <w:sz w:val="19"/>
                <w:szCs w:val="19"/>
              </w:rPr>
              <w:t xml:space="preserve">Motor predictivo de ML</w:t>
            </w:r>
          </w:p>
        </w:tc>
        <w:tc>
          <w:tcPr>
            <w:tcW w:type="pct" w:w="30%"/>
          </w:tcPr>
          <w:p>
            <w:pPr>
              <w:spacing w:after="0" w:line="240"/>
              <w:jc w:val="left"/>
            </w:pPr>
            <w:r>
              <w:rPr>
                <w:b w:val="false"/>
                <w:bCs w:val="false"/>
                <w:color w:val="000000"/>
                <w:sz w:val="19"/>
                <w:szCs w:val="19"/>
              </w:rPr>
              <w:t xml:space="preserve">Python + scikit-learn (Random Forest + Logística + K-Means)</w:t>
            </w:r>
          </w:p>
        </w:tc>
        <w:tc>
          <w:tcPr>
            <w:tcW w:type="pct" w:w="44%"/>
          </w:tcPr>
          <w:p>
            <w:pPr>
              <w:spacing w:after="0" w:line="240"/>
              <w:jc w:val="left"/>
            </w:pPr>
            <w:r>
              <w:rPr>
                <w:b w:val="false"/>
                <w:bCs w:val="false"/>
                <w:color w:val="000000"/>
                <w:sz w:val="19"/>
                <w:szCs w:val="19"/>
              </w:rPr>
              <w:t xml:space="preserve">Predice nivel de riesgo de una ruta o zona y la probabilidad de afectación juvenil; alerta antes de que ocurra el incidente.</w:t>
            </w:r>
          </w:p>
        </w:tc>
      </w:tr>
    </w:tbl>
    <w:p>
      <w:pPr>
        <w:spacing w:after="160"/>
      </w:pPr>
      <w:r>
        <w:rPr>
          <w:sz w:val="12"/>
          <w:szCs w:val="12"/>
        </w:rPr>
        <w:t xml:space="preserve"/>
      </w:r>
    </w:p>
    <w:p>
      <w:pPr>
        <w:pStyle w:val="Heading2"/>
      </w:pPr>
      <w:r>
        <w:t xml:space="preserve">Arquitectura y flujo de funcionamiento</w:t>
      </w:r>
    </w:p>
    <w:p>
      <w:pPr>
        <w:spacing w:after="160" w:line="276"/>
        <w:jc w:val="both"/>
      </w:pPr>
      <w:r>
        <w:rPr>
          <w:sz w:val="22"/>
          <w:szCs w:val="22"/>
        </w:rPr>
        <w:t xml:space="preserve">La siguiente figura ilustra el flujo completo de PreVe-Juvenil, desde que un joven reporta un incidente hasta que la comunidad estudiantil recibe la alerta preventiva, incluyendo el ciclo de retroalimentación que mejora el modelo con cada nuevo reporte:</w:t>
      </w:r>
    </w:p>
    <w:p>
      <w:pPr>
        <w:spacing w:after="80" w:before="8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i/>
          <w:iCs/>
          <w:color w:val="555555"/>
          <w:sz w:val="18"/>
          <w:szCs w:val="18"/>
        </w:rPr>
        <w:t xml:space="preserve">Figura 1. Arquitectura y flujo de funcionamiento de PreVe-Juvenil. Elaboración propia.</w:t>
      </w:r>
    </w:p>
    <w:p>
      <w:pPr>
        <w:pStyle w:val="Heading2"/>
      </w:pPr>
      <w:r>
        <w:t xml:space="preserve">Sustento criminológico y técnico</w:t>
      </w:r>
    </w:p>
    <w:p>
      <w:pPr>
        <w:spacing w:after="160" w:line="276"/>
        <w:jc w:val="both"/>
      </w:pPr>
      <w:r>
        <w:rPr>
          <w:sz w:val="22"/>
          <w:szCs w:val="22"/>
        </w:rPr>
        <w:t xml:space="preserve">PreVe se fundamenta en literatura criminológica consolidada y en evidencia técnica internacional. Según la </w:t>
      </w:r>
      <w:r>
        <w:rPr>
          <w:b/>
          <w:bCs/>
          <w:sz w:val="22"/>
          <w:szCs w:val="22"/>
        </w:rPr>
        <w:t xml:space="preserve">teoría de las actividades rutinarias</w:t>
      </w:r>
      <w:r>
        <w:rPr>
          <w:sz w:val="22"/>
          <w:szCs w:val="22"/>
        </w:rPr>
        <w:t xml:space="preserve"> (Cohen y Felson, 1979), un delito ocurre cuando convergen un delincuente motivado, un objetivo propicio y la ausencia de un guardián capaz; PreVe refuerza al “guardián capaz” al convertir a la comunidad estudiantil informada en un sistema colectivo de vigilancia. Esto es especialmente relevante para las juventudes, cuyas rutinas cotidianas (mismos paraderos, mismos horarios) las convierten en objetivos predecibles según la propia teoría.</w:t>
      </w:r>
    </w:p>
    <w:p>
      <w:pPr>
        <w:spacing w:after="160" w:line="276"/>
        <w:jc w:val="both"/>
      </w:pPr>
      <w:r>
        <w:rPr>
          <w:sz w:val="22"/>
          <w:szCs w:val="22"/>
        </w:rPr>
        <w:t xml:space="preserve">A nivel técnico, el enfoque predictivo está validado por la evidencia internacional. Los estudios sobre detección de “hot spots” demuestran que identificar geográficamente los clústeres de criminalidad orienta la prevención de forma más eficiente que el patrullaje genérico (Carleton et al., 2020), y la literatura confirma la eficacia de algoritmos como Random Forest y modelos espacio-temporales para la predicción del delito (Kang y Kang, 2017).</w:t>
      </w:r>
    </w:p>
    <w:p>
      <w:pPr>
        <w:pStyle w:val="Heading2"/>
      </w:pPr>
      <w:r>
        <w:t xml:space="preserve">Validación: el prototipo ya funciona</w:t>
      </w:r>
    </w:p>
    <w:p>
      <w:pPr>
        <w:spacing w:after="160" w:line="276"/>
        <w:jc w:val="both"/>
      </w:pPr>
      <w:r>
        <w:rPr>
          <w:sz w:val="22"/>
          <w:szCs w:val="22"/>
        </w:rPr>
        <w:t xml:space="preserve">El equipo ya ha desarrollado un prototipo funcional del componente de Machine Learning. Sobre un dataset de 800 incidentes calibrados con tendencias reales del INEI, los modelos alcanzan:</w:t>
      </w:r>
    </w:p>
    <w:p>
      <w:pPr>
        <w:spacing w:after="100"/>
        <w:ind w:left="480" w:hanging="240"/>
      </w:pPr>
      <w:r>
        <w:rPr>
          <w:b/>
          <w:bCs/>
          <w:color w:val="2563EB"/>
          <w:sz w:val="22"/>
          <w:szCs w:val="22"/>
        </w:rPr>
        <w:t xml:space="preserve">•  </w:t>
      </w:r>
      <w:r>
        <w:rPr>
          <w:sz w:val="22"/>
          <w:szCs w:val="22"/>
        </w:rPr>
        <w:t xml:space="preserve">Random Forest (clasificación de riesgo): 79,5 % de exactitud.</w:t>
      </w:r>
    </w:p>
    <w:p>
      <w:pPr>
        <w:spacing w:after="100"/>
        <w:ind w:left="480" w:hanging="240"/>
      </w:pPr>
      <w:r>
        <w:rPr>
          <w:b/>
          <w:bCs/>
          <w:color w:val="2563EB"/>
          <w:sz w:val="22"/>
          <w:szCs w:val="22"/>
        </w:rPr>
        <w:t xml:space="preserve">•  </w:t>
      </w:r>
      <w:r>
        <w:rPr>
          <w:sz w:val="22"/>
          <w:szCs w:val="22"/>
        </w:rPr>
        <w:t xml:space="preserve">Regresión Logística (probabilidad de víctima joven): AUC-ROC = 0,68.</w:t>
      </w:r>
    </w:p>
    <w:p>
      <w:pPr>
        <w:spacing w:after="100"/>
        <w:ind w:left="480" w:hanging="240"/>
      </w:pPr>
      <w:r>
        <w:rPr>
          <w:b/>
          <w:bCs/>
          <w:color w:val="2563EB"/>
          <w:sz w:val="22"/>
          <w:szCs w:val="22"/>
        </w:rPr>
        <w:t xml:space="preserve">•  </w:t>
      </w:r>
      <w:r>
        <w:rPr>
          <w:sz w:val="22"/>
          <w:szCs w:val="22"/>
        </w:rPr>
        <w:t xml:space="preserve">K-Means: identifica 4 zonas críticas específicas para juventudes en Lima Centro.</w:t>
      </w:r>
    </w:p>
    <w:p>
      <w:pPr>
        <w:spacing w:after="160" w:line="276"/>
        <w:jc w:val="both"/>
      </w:pPr>
      <w:r>
        <w:rPr>
          <w:sz w:val="22"/>
          <w:szCs w:val="22"/>
        </w:rPr>
        <w:t xml:space="preserve">Estos resultados, junto con el prototipo web interactivo adjunto, demuestran que la propuesta no es solo conceptual sino </w:t>
      </w:r>
      <w:r>
        <w:rPr>
          <w:b/>
          <w:bCs/>
          <w:sz w:val="22"/>
          <w:szCs w:val="22"/>
        </w:rPr>
        <w:t xml:space="preserve">técnicamente viable y probada</w:t>
      </w:r>
      <w:r>
        <w:rPr>
          <w:sz w:val="22"/>
          <w:szCs w:val="22"/>
        </w:rPr>
        <w:t xml:space="preserve">. El detalle del notebook y los gráficos se encuentra en el archivo adjunto </w:t>
      </w:r>
      <w:r>
        <w:rPr>
          <w:i/>
          <w:iCs/>
          <w:sz w:val="22"/>
          <w:szCs w:val="22"/>
        </w:rPr>
        <w:t xml:space="preserve">PreVe_Juvenil_ML.ipynb</w:t>
      </w:r>
      <w:r>
        <w:rPr>
          <w:sz w:val="22"/>
          <w:szCs w:val="22"/>
        </w:rPr>
        <w:t xml:space="preserve">.</w:t>
      </w:r>
    </w:p>
    <w:p>
      <w:pPr>
        <w:pStyle w:val="Heading1"/>
      </w:pPr>
      <w:r>
        <w:t xml:space="preserve">C. Resultados Esperados</w:t>
      </w:r>
    </w:p>
    <w:p>
      <w:pPr>
        <w:spacing w:after="160" w:line="276"/>
        <w:jc w:val="both"/>
      </w:pPr>
      <w:r>
        <w:rPr>
          <w:sz w:val="22"/>
          <w:szCs w:val="22"/>
        </w:rPr>
        <w:t xml:space="preserve">Los resultados se organizan en tres horizontes temporales: corto plazo (durante el piloto de 60 días), mediano plazo (6 meses) y largo plazo (alineamiento con la meta nacional al 2030).</w:t>
      </w:r>
    </w:p>
    <w:p>
      <w:pPr>
        <w:pStyle w:val="Heading2"/>
      </w:pPr>
      <w:r>
        <w:t xml:space="preserve">Resultados durante el piloto (60 días)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1A3C6E" w:val="clear"/>
          </w:tcPr>
          <w:p>
            <w:pPr>
              <w:spacing w:after="0" w:line="240"/>
              <w:jc w:val="left"/>
            </w:pPr>
            <w:r>
              <w:rPr>
                <w:b/>
                <w:bCs/>
                <w:color w:val="FFFFFF"/>
                <w:sz w:val="19"/>
                <w:szCs w:val="19"/>
              </w:rPr>
              <w:t xml:space="preserve">Resultado clave</w:t>
            </w:r>
          </w:p>
        </w:tc>
        <w:tc>
          <w:tcPr>
            <w:tcW w:type="pct" w:w="27%"/>
            <w:shd w:fill="1A3C6E" w:val="clear"/>
          </w:tcPr>
          <w:p>
            <w:pPr>
              <w:spacing w:after="0" w:line="240"/>
              <w:jc w:val="center"/>
            </w:pPr>
            <w:r>
              <w:rPr>
                <w:b/>
                <w:bCs/>
                <w:color w:val="FFFFFF"/>
                <w:sz w:val="19"/>
                <w:szCs w:val="19"/>
              </w:rPr>
              <w:t xml:space="preserve">Indicador</w:t>
            </w:r>
          </w:p>
        </w:tc>
        <w:tc>
          <w:tcPr>
            <w:tcW w:type="pct" w:w="23%"/>
            <w:shd w:fill="1A3C6E" w:val="clear"/>
          </w:tcPr>
          <w:p>
            <w:pPr>
              <w:spacing w:after="0" w:line="240"/>
              <w:jc w:val="center"/>
            </w:pPr>
            <w:r>
              <w:rPr>
                <w:b/>
                <w:bCs/>
                <w:color w:val="FFFFFF"/>
                <w:sz w:val="19"/>
                <w:szCs w:val="19"/>
              </w:rPr>
              <w:t xml:space="preserve">Meta</w:t>
            </w:r>
          </w:p>
        </w:tc>
      </w:tr>
      <w:tr>
        <w:tc>
          <w:tcPr>
            <w:tcW w:type="pct" w:w="50%"/>
          </w:tcPr>
          <w:p>
            <w:pPr>
              <w:spacing w:after="0" w:line="240"/>
              <w:jc w:val="left"/>
            </w:pPr>
            <w:r>
              <w:rPr>
                <w:b w:val="false"/>
                <w:bCs w:val="false"/>
                <w:color w:val="000000"/>
                <w:sz w:val="19"/>
                <w:szCs w:val="19"/>
              </w:rPr>
              <w:t xml:space="preserve">Comunidad estudiantil registrada en la plataforma</w:t>
            </w:r>
          </w:p>
        </w:tc>
        <w:tc>
          <w:tcPr>
            <w:tcW w:type="pct" w:w="27%"/>
          </w:tcPr>
          <w:p>
            <w:pPr>
              <w:spacing w:after="0" w:line="240"/>
              <w:jc w:val="center"/>
            </w:pPr>
            <w:r>
              <w:rPr>
                <w:b w:val="false"/>
                <w:bCs w:val="false"/>
                <w:color w:val="000000"/>
                <w:sz w:val="19"/>
                <w:szCs w:val="19"/>
              </w:rPr>
              <w:t xml:space="preserve">N.º de jóvenes registrados</w:t>
            </w:r>
          </w:p>
        </w:tc>
        <w:tc>
          <w:tcPr>
            <w:tcW w:type="pct" w:w="23%"/>
            <w:shd w:fill="E0F2FE" w:val="clear"/>
          </w:tcPr>
          <w:p>
            <w:pPr>
              <w:spacing w:after="0" w:line="240"/>
              <w:jc w:val="center"/>
            </w:pPr>
            <w:r>
              <w:rPr>
                <w:b/>
                <w:bCs/>
                <w:color w:val="000000"/>
                <w:sz w:val="19"/>
                <w:szCs w:val="19"/>
              </w:rPr>
              <w:t xml:space="preserve">500+</w:t>
            </w:r>
          </w:p>
        </w:tc>
      </w:tr>
      <w:tr>
        <w:tc>
          <w:tcPr>
            <w:tcW w:type="pct" w:w="50%"/>
          </w:tcPr>
          <w:p>
            <w:pPr>
              <w:spacing w:after="0" w:line="240"/>
              <w:jc w:val="left"/>
            </w:pPr>
            <w:r>
              <w:rPr>
                <w:b w:val="false"/>
                <w:bCs w:val="false"/>
                <w:color w:val="000000"/>
                <w:sz w:val="19"/>
                <w:szCs w:val="19"/>
              </w:rPr>
              <w:t xml:space="preserve">Reportes ciudadanos recolectados</w:t>
            </w:r>
          </w:p>
        </w:tc>
        <w:tc>
          <w:tcPr>
            <w:tcW w:type="pct" w:w="27%"/>
          </w:tcPr>
          <w:p>
            <w:pPr>
              <w:spacing w:after="0" w:line="240"/>
              <w:jc w:val="center"/>
            </w:pPr>
            <w:r>
              <w:rPr>
                <w:b w:val="false"/>
                <w:bCs w:val="false"/>
                <w:color w:val="000000"/>
                <w:sz w:val="19"/>
                <w:szCs w:val="19"/>
              </w:rPr>
              <w:t xml:space="preserve">N.º de reportes vía WhatsApp</w:t>
            </w:r>
          </w:p>
        </w:tc>
        <w:tc>
          <w:tcPr>
            <w:tcW w:type="pct" w:w="23%"/>
            <w:shd w:fill="E0F2FE" w:val="clear"/>
          </w:tcPr>
          <w:p>
            <w:pPr>
              <w:spacing w:after="0" w:line="240"/>
              <w:jc w:val="center"/>
            </w:pPr>
            <w:r>
              <w:rPr>
                <w:b/>
                <w:bCs/>
                <w:color w:val="000000"/>
                <w:sz w:val="19"/>
                <w:szCs w:val="19"/>
              </w:rPr>
              <w:t xml:space="preserve">800+</w:t>
            </w:r>
          </w:p>
        </w:tc>
      </w:tr>
      <w:tr>
        <w:tc>
          <w:tcPr>
            <w:tcW w:type="pct" w:w="50%"/>
          </w:tcPr>
          <w:p>
            <w:pPr>
              <w:spacing w:after="0" w:line="240"/>
              <w:jc w:val="left"/>
            </w:pPr>
            <w:r>
              <w:rPr>
                <w:b w:val="false"/>
                <w:bCs w:val="false"/>
                <w:color w:val="000000"/>
                <w:sz w:val="19"/>
                <w:szCs w:val="19"/>
              </w:rPr>
              <w:t xml:space="preserve">Cobertura territorial</w:t>
            </w:r>
          </w:p>
        </w:tc>
        <w:tc>
          <w:tcPr>
            <w:tcW w:type="pct" w:w="27%"/>
          </w:tcPr>
          <w:p>
            <w:pPr>
              <w:spacing w:after="0" w:line="240"/>
              <w:jc w:val="center"/>
            </w:pPr>
            <w:r>
              <w:rPr>
                <w:b w:val="false"/>
                <w:bCs w:val="false"/>
                <w:color w:val="000000"/>
                <w:sz w:val="19"/>
                <w:szCs w:val="19"/>
              </w:rPr>
              <w:t xml:space="preserve">Distritos de Lima Centro cubiertos</w:t>
            </w:r>
          </w:p>
        </w:tc>
        <w:tc>
          <w:tcPr>
            <w:tcW w:type="pct" w:w="23%"/>
            <w:shd w:fill="E0F2FE" w:val="clear"/>
          </w:tcPr>
          <w:p>
            <w:pPr>
              <w:spacing w:after="0" w:line="240"/>
              <w:jc w:val="center"/>
            </w:pPr>
            <w:r>
              <w:rPr>
                <w:b/>
                <w:bCs/>
                <w:color w:val="000000"/>
                <w:sz w:val="19"/>
                <w:szCs w:val="19"/>
              </w:rPr>
              <w:t xml:space="preserve">3</w:t>
            </w:r>
          </w:p>
        </w:tc>
      </w:tr>
      <w:tr>
        <w:tc>
          <w:tcPr>
            <w:tcW w:type="pct" w:w="50%"/>
          </w:tcPr>
          <w:p>
            <w:pPr>
              <w:spacing w:after="0" w:line="240"/>
              <w:jc w:val="left"/>
            </w:pPr>
            <w:r>
              <w:rPr>
                <w:b w:val="false"/>
                <w:bCs w:val="false"/>
                <w:color w:val="000000"/>
                <w:sz w:val="19"/>
                <w:szCs w:val="19"/>
              </w:rPr>
              <w:t xml:space="preserve">Universidades aliadas</w:t>
            </w:r>
          </w:p>
        </w:tc>
        <w:tc>
          <w:tcPr>
            <w:tcW w:type="pct" w:w="27%"/>
          </w:tcPr>
          <w:p>
            <w:pPr>
              <w:spacing w:after="0" w:line="240"/>
              <w:jc w:val="center"/>
            </w:pPr>
            <w:r>
              <w:rPr>
                <w:b w:val="false"/>
                <w:bCs w:val="false"/>
                <w:color w:val="000000"/>
                <w:sz w:val="19"/>
                <w:szCs w:val="19"/>
              </w:rPr>
              <w:t xml:space="preserve">Convenios con casas de estudio</w:t>
            </w:r>
          </w:p>
        </w:tc>
        <w:tc>
          <w:tcPr>
            <w:tcW w:type="pct" w:w="23%"/>
            <w:shd w:fill="E0F2FE" w:val="clear"/>
          </w:tcPr>
          <w:p>
            <w:pPr>
              <w:spacing w:after="0" w:line="240"/>
              <w:jc w:val="center"/>
            </w:pPr>
            <w:r>
              <w:rPr>
                <w:b/>
                <w:bCs/>
                <w:color w:val="000000"/>
                <w:sz w:val="19"/>
                <w:szCs w:val="19"/>
              </w:rPr>
              <w:t xml:space="preserve">2</w:t>
            </w:r>
          </w:p>
        </w:tc>
      </w:tr>
      <w:tr>
        <w:tc>
          <w:tcPr>
            <w:tcW w:type="pct" w:w="50%"/>
          </w:tcPr>
          <w:p>
            <w:pPr>
              <w:spacing w:after="0" w:line="240"/>
              <w:jc w:val="left"/>
            </w:pPr>
            <w:r>
              <w:rPr>
                <w:b w:val="false"/>
                <w:bCs w:val="false"/>
                <w:color w:val="000000"/>
                <w:sz w:val="19"/>
                <w:szCs w:val="19"/>
              </w:rPr>
              <w:t xml:space="preserve">Alertas preventivas enviadas</w:t>
            </w:r>
          </w:p>
        </w:tc>
        <w:tc>
          <w:tcPr>
            <w:tcW w:type="pct" w:w="27%"/>
          </w:tcPr>
          <w:p>
            <w:pPr>
              <w:spacing w:after="0" w:line="240"/>
              <w:jc w:val="center"/>
            </w:pPr>
            <w:r>
              <w:rPr>
                <w:b w:val="false"/>
                <w:bCs w:val="false"/>
                <w:color w:val="000000"/>
                <w:sz w:val="19"/>
                <w:szCs w:val="19"/>
              </w:rPr>
              <w:t xml:space="preserve">N.º de alertas a estudiantes</w:t>
            </w:r>
          </w:p>
        </w:tc>
        <w:tc>
          <w:tcPr>
            <w:tcW w:type="pct" w:w="23%"/>
            <w:shd w:fill="E0F2FE" w:val="clear"/>
          </w:tcPr>
          <w:p>
            <w:pPr>
              <w:spacing w:after="0" w:line="240"/>
              <w:jc w:val="center"/>
            </w:pPr>
            <w:r>
              <w:rPr>
                <w:b/>
                <w:bCs/>
                <w:color w:val="000000"/>
                <w:sz w:val="19"/>
                <w:szCs w:val="19"/>
              </w:rPr>
              <w:t xml:space="preserve">100+</w:t>
            </w:r>
          </w:p>
        </w:tc>
      </w:tr>
      <w:tr>
        <w:tc>
          <w:tcPr>
            <w:tcW w:type="pct" w:w="50%"/>
          </w:tcPr>
          <w:p>
            <w:pPr>
              <w:spacing w:after="0" w:line="240"/>
              <w:jc w:val="left"/>
            </w:pPr>
            <w:r>
              <w:rPr>
                <w:b w:val="false"/>
                <w:bCs w:val="false"/>
                <w:color w:val="000000"/>
                <w:sz w:val="19"/>
                <w:szCs w:val="19"/>
              </w:rPr>
              <w:t xml:space="preserve">Zonas críticas para juventudes identificadas</w:t>
            </w:r>
          </w:p>
        </w:tc>
        <w:tc>
          <w:tcPr>
            <w:tcW w:type="pct" w:w="27%"/>
          </w:tcPr>
          <w:p>
            <w:pPr>
              <w:spacing w:after="0" w:line="240"/>
              <w:jc w:val="center"/>
            </w:pPr>
            <w:r>
              <w:rPr>
                <w:b w:val="false"/>
                <w:bCs w:val="false"/>
                <w:color w:val="000000"/>
                <w:sz w:val="19"/>
                <w:szCs w:val="19"/>
              </w:rPr>
              <w:t xml:space="preserve">Clústeres detectados por ML</w:t>
            </w:r>
          </w:p>
        </w:tc>
        <w:tc>
          <w:tcPr>
            <w:tcW w:type="pct" w:w="23%"/>
            <w:shd w:fill="E0F2FE" w:val="clear"/>
          </w:tcPr>
          <w:p>
            <w:pPr>
              <w:spacing w:after="0" w:line="240"/>
              <w:jc w:val="center"/>
            </w:pPr>
            <w:r>
              <w:rPr>
                <w:b/>
                <w:bCs/>
                <w:color w:val="000000"/>
                <w:sz w:val="19"/>
                <w:szCs w:val="19"/>
              </w:rPr>
              <w:t xml:space="preserve">5+</w:t>
            </w:r>
          </w:p>
        </w:tc>
      </w:tr>
      <w:tr>
        <w:tc>
          <w:tcPr>
            <w:tcW w:type="pct" w:w="50%"/>
          </w:tcPr>
          <w:p>
            <w:pPr>
              <w:spacing w:after="0" w:line="240"/>
              <w:jc w:val="left"/>
            </w:pPr>
            <w:r>
              <w:rPr>
                <w:b w:val="false"/>
                <w:bCs w:val="false"/>
                <w:color w:val="000000"/>
                <w:sz w:val="19"/>
                <w:szCs w:val="19"/>
              </w:rPr>
              <w:t xml:space="preserve">Reducción de fricción</w:t>
            </w:r>
          </w:p>
        </w:tc>
        <w:tc>
          <w:tcPr>
            <w:tcW w:type="pct" w:w="27%"/>
          </w:tcPr>
          <w:p>
            <w:pPr>
              <w:spacing w:after="0" w:line="240"/>
              <w:jc w:val="center"/>
            </w:pPr>
            <w:r>
              <w:rPr>
                <w:b w:val="false"/>
                <w:bCs w:val="false"/>
                <w:color w:val="000000"/>
                <w:sz w:val="19"/>
                <w:szCs w:val="19"/>
              </w:rPr>
              <w:t xml:space="preserve">Tiempo promedio de reporte</w:t>
            </w:r>
          </w:p>
        </w:tc>
        <w:tc>
          <w:tcPr>
            <w:tcW w:type="pct" w:w="23%"/>
            <w:shd w:fill="E0F2FE" w:val="clear"/>
          </w:tcPr>
          <w:p>
            <w:pPr>
              <w:spacing w:after="0" w:line="240"/>
              <w:jc w:val="center"/>
            </w:pPr>
            <w:r>
              <w:rPr>
                <w:b/>
                <w:bCs/>
                <w:color w:val="000000"/>
                <w:sz w:val="19"/>
                <w:szCs w:val="19"/>
              </w:rPr>
              <w:t xml:space="preserve">&lt; 90 seg</w:t>
            </w:r>
          </w:p>
        </w:tc>
      </w:tr>
      <w:tr>
        <w:tc>
          <w:tcPr>
            <w:tcW w:type="pct" w:w="50%"/>
          </w:tcPr>
          <w:p>
            <w:pPr>
              <w:spacing w:after="0" w:line="240"/>
              <w:jc w:val="left"/>
            </w:pPr>
            <w:r>
              <w:rPr>
                <w:b w:val="false"/>
                <w:bCs w:val="false"/>
                <w:color w:val="000000"/>
                <w:sz w:val="19"/>
                <w:szCs w:val="19"/>
              </w:rPr>
              <w:t xml:space="preserve">Precisión del modelo</w:t>
            </w:r>
          </w:p>
        </w:tc>
        <w:tc>
          <w:tcPr>
            <w:tcW w:type="pct" w:w="27%"/>
          </w:tcPr>
          <w:p>
            <w:pPr>
              <w:spacing w:after="0" w:line="240"/>
              <w:jc w:val="center"/>
            </w:pPr>
            <w:r>
              <w:rPr>
                <w:b w:val="false"/>
                <w:bCs w:val="false"/>
                <w:color w:val="000000"/>
                <w:sz w:val="19"/>
                <w:szCs w:val="19"/>
              </w:rPr>
              <w:t xml:space="preserve">Exactitud del clasificador de riesgo</w:t>
            </w:r>
          </w:p>
        </w:tc>
        <w:tc>
          <w:tcPr>
            <w:tcW w:type="pct" w:w="23%"/>
            <w:shd w:fill="E0F2FE" w:val="clear"/>
          </w:tcPr>
          <w:p>
            <w:pPr>
              <w:spacing w:after="0" w:line="240"/>
              <w:jc w:val="center"/>
            </w:pPr>
            <w:r>
              <w:rPr>
                <w:b/>
                <w:bCs/>
                <w:color w:val="000000"/>
                <w:sz w:val="19"/>
                <w:szCs w:val="19"/>
              </w:rPr>
              <w:t xml:space="preserve">≥ 80 %</w:t>
            </w:r>
          </w:p>
        </w:tc>
      </w:tr>
    </w:tbl>
    <w:p>
      <w:pPr>
        <w:pStyle w:val="Heading2"/>
      </w:pPr>
      <w:r>
        <w:t xml:space="preserve">Resultados a 6 meses (post-piloto)</w:t>
      </w:r>
    </w:p>
    <w:p>
      <w:pPr>
        <w:spacing w:after="100"/>
        <w:ind w:left="480" w:hanging="240"/>
      </w:pPr>
      <w:r>
        <w:rPr>
          <w:b/>
          <w:bCs/>
          <w:color w:val="2563EB"/>
          <w:sz w:val="22"/>
          <w:szCs w:val="22"/>
        </w:rPr>
        <w:t xml:space="preserve">•  </w:t>
      </w:r>
      <w:r>
        <w:rPr>
          <w:sz w:val="22"/>
          <w:szCs w:val="22"/>
        </w:rPr>
        <w:t xml:space="preserve">Replicación de la plataforma en al menos 2 distritos adicionales de Lima.</w:t>
      </w:r>
    </w:p>
    <w:p>
      <w:pPr>
        <w:spacing w:after="100"/>
        <w:ind w:left="480" w:hanging="240"/>
      </w:pPr>
      <w:r>
        <w:rPr>
          <w:b/>
          <w:bCs/>
          <w:color w:val="2563EB"/>
          <w:sz w:val="22"/>
          <w:szCs w:val="22"/>
        </w:rPr>
        <w:t xml:space="preserve">•  </w:t>
      </w:r>
      <w:r>
        <w:rPr>
          <w:sz w:val="22"/>
          <w:szCs w:val="22"/>
        </w:rPr>
        <w:t xml:space="preserve">Integración con al menos 1 municipalidad para compartir datos agregados (sin información personal).</w:t>
      </w:r>
    </w:p>
    <w:p>
      <w:pPr>
        <w:spacing w:after="100"/>
        <w:ind w:left="480" w:hanging="240"/>
      </w:pPr>
      <w:r>
        <w:rPr>
          <w:b/>
          <w:bCs/>
          <w:color w:val="2563EB"/>
          <w:sz w:val="22"/>
          <w:szCs w:val="22"/>
        </w:rPr>
        <w:t xml:space="preserve">•  </w:t>
      </w:r>
      <w:r>
        <w:rPr>
          <w:sz w:val="22"/>
          <w:szCs w:val="22"/>
        </w:rPr>
        <w:t xml:space="preserve">Publicación de un informe abierto con los patrones de victimización juvenil detectados.</w:t>
      </w:r>
    </w:p>
    <w:p>
      <w:pPr>
        <w:spacing w:after="100"/>
        <w:ind w:left="480" w:hanging="240"/>
      </w:pPr>
      <w:r>
        <w:rPr>
          <w:b/>
          <w:bCs/>
          <w:color w:val="2563EB"/>
          <w:sz w:val="22"/>
          <w:szCs w:val="22"/>
        </w:rPr>
        <w:t xml:space="preserve">•  </w:t>
      </w:r>
      <w:r>
        <w:rPr>
          <w:sz w:val="22"/>
          <w:szCs w:val="22"/>
        </w:rPr>
        <w:t xml:space="preserve">Sistema de mejora continua: cada reporte mejora la precisión del modelo (ciclo retroalimentado).</w:t>
      </w:r>
    </w:p>
    <w:p>
      <w:pPr>
        <w:pStyle w:val="Heading2"/>
      </w:pPr>
      <w:r>
        <w:t xml:space="preserve">Contribución a metas nacionales (PNMSC 2030)</w:t>
      </w:r>
    </w:p>
    <w:p>
      <w:pPr>
        <w:spacing w:after="160" w:line="276"/>
        <w:jc w:val="both"/>
      </w:pPr>
      <w:r>
        <w:rPr>
          <w:sz w:val="22"/>
          <w:szCs w:val="22"/>
        </w:rPr>
        <w:t xml:space="preserve">La Política Nacional Multisectorial de Seguridad Ciudadana fija como meta reducir la victimización urbana del 26,6 % (2019) al 17 % al 2030. PreVe contribuye a esta meta por tres vías: (</w:t>
      </w:r>
      <w:r>
        <w:rPr>
          <w:i/>
          <w:iCs/>
          <w:sz w:val="22"/>
          <w:szCs w:val="22"/>
        </w:rPr>
        <w:t xml:space="preserve">i</w:t>
      </w:r>
      <w:r>
        <w:rPr>
          <w:sz w:val="22"/>
          <w:szCs w:val="22"/>
        </w:rPr>
        <w:t xml:space="preserve">) atacando el subregistro al ofrecer un canal con baja fricción, lo que permite que las autoridades trabajen con datos más completos; (</w:t>
      </w:r>
      <w:r>
        <w:rPr>
          <w:i/>
          <w:iCs/>
          <w:sz w:val="22"/>
          <w:szCs w:val="22"/>
        </w:rPr>
        <w:t xml:space="preserve">ii</w:t>
      </w:r>
      <w:r>
        <w:rPr>
          <w:sz w:val="22"/>
          <w:szCs w:val="22"/>
        </w:rPr>
        <w:t xml:space="preserve">) generando inteligencia accionable —no listas de incidentes sino zonas de riesgo predichas— para municipios y serenazgos; y (</w:t>
      </w:r>
      <w:r>
        <w:rPr>
          <w:i/>
          <w:iCs/>
          <w:sz w:val="22"/>
          <w:szCs w:val="22"/>
        </w:rPr>
        <w:t xml:space="preserve">iii</w:t>
      </w:r>
      <w:r>
        <w:rPr>
          <w:sz w:val="22"/>
          <w:szCs w:val="22"/>
        </w:rPr>
        <w:t xml:space="preserve">) empoderando a las juventudes como agentes activos de prevención, alineado con la Ley N.º 27933 y los lineamientos del PNUD y SENAJU sobre participación juvenil.</w:t>
      </w:r>
    </w:p>
    <w:p>
      <w:pPr>
        <w:pStyle w:val="Heading2"/>
      </w:pPr>
      <w:r>
        <w:t xml:space="preserve">Indicadores de éxito (KPIs)</w:t>
      </w:r>
    </w:p>
    <w:p>
      <w:pPr>
        <w:spacing w:after="100"/>
        <w:ind w:left="480" w:hanging="240"/>
      </w:pPr>
      <w:r>
        <w:rPr>
          <w:b/>
          <w:bCs/>
          <w:color w:val="2563EB"/>
          <w:sz w:val="22"/>
          <w:szCs w:val="22"/>
        </w:rPr>
        <w:t xml:space="preserve">•  </w:t>
      </w:r>
      <w:r>
        <w:rPr>
          <w:sz w:val="22"/>
          <w:szCs w:val="22"/>
        </w:rPr>
        <w:t xml:space="preserve">Tasa de adopción juvenil: % de jóvenes registrados respecto a la población universitaria de la zona piloto.</w:t>
      </w:r>
    </w:p>
    <w:p>
      <w:pPr>
        <w:spacing w:after="100"/>
        <w:ind w:left="480" w:hanging="240"/>
      </w:pPr>
      <w:r>
        <w:rPr>
          <w:b/>
          <w:bCs/>
          <w:color w:val="2563EB"/>
          <w:sz w:val="22"/>
          <w:szCs w:val="22"/>
        </w:rPr>
        <w:t xml:space="preserve">•  </w:t>
      </w:r>
      <w:r>
        <w:rPr>
          <w:sz w:val="22"/>
          <w:szCs w:val="22"/>
        </w:rPr>
        <w:t xml:space="preserve">Tasa de retención: % de usuarios activos a 30 días.</w:t>
      </w:r>
    </w:p>
    <w:p>
      <w:pPr>
        <w:spacing w:after="100"/>
        <w:ind w:left="480" w:hanging="240"/>
      </w:pPr>
      <w:r>
        <w:rPr>
          <w:b/>
          <w:bCs/>
          <w:color w:val="2563EB"/>
          <w:sz w:val="22"/>
          <w:szCs w:val="22"/>
        </w:rPr>
        <w:t xml:space="preserve">•  </w:t>
      </w:r>
      <w:r>
        <w:rPr>
          <w:sz w:val="22"/>
          <w:szCs w:val="22"/>
        </w:rPr>
        <w:t xml:space="preserve">Precisión predictiva: exactitud del modelo medida sobre datos reales recolectados.</w:t>
      </w:r>
    </w:p>
    <w:p>
      <w:pPr>
        <w:spacing w:after="100"/>
        <w:ind w:left="480" w:hanging="240"/>
      </w:pPr>
      <w:r>
        <w:rPr>
          <w:b/>
          <w:bCs/>
          <w:color w:val="2563EB"/>
          <w:sz w:val="22"/>
          <w:szCs w:val="22"/>
        </w:rPr>
        <w:t xml:space="preserve">•  </w:t>
      </w:r>
      <w:r>
        <w:rPr>
          <w:sz w:val="22"/>
          <w:szCs w:val="22"/>
        </w:rPr>
        <w:t xml:space="preserve">Tiempo de alerta: minutos transcurridos entre la detección del patrón y la notificación a la comunidad.</w:t>
      </w:r>
    </w:p>
    <w:p>
      <w:pPr>
        <w:spacing w:after="100"/>
        <w:ind w:left="480" w:hanging="240"/>
      </w:pPr>
      <w:r>
        <w:rPr>
          <w:b/>
          <w:bCs/>
          <w:color w:val="2563EB"/>
          <w:sz w:val="22"/>
          <w:szCs w:val="22"/>
        </w:rPr>
        <w:t xml:space="preserve">•  </w:t>
      </w:r>
      <w:r>
        <w:rPr>
          <w:sz w:val="22"/>
          <w:szCs w:val="22"/>
        </w:rPr>
        <w:t xml:space="preserve">Satisfacción de usuarios: NPS (Net Promoter Score) ≥ 40 al cierre del piloto.</w:t>
      </w:r>
    </w:p>
    <w:p>
      <w:pPr>
        <w:pStyle w:val="Heading1"/>
      </w:pPr>
      <w:r>
        <w:t xml:space="preserve">E. Presupuesto Detallado</w:t>
      </w:r>
    </w:p>
    <w:p>
      <w:pPr>
        <w:spacing w:after="160" w:line="276"/>
        <w:jc w:val="both"/>
      </w:pPr>
      <w:r>
        <w:rPr>
          <w:sz w:val="22"/>
          <w:szCs w:val="22"/>
        </w:rPr>
        <w:t xml:space="preserve">El presupuesto se ajusta al Fondo de Innovación Juvenil de hasta S/ 10 000,00 ofrecido por el PNUD, y se distribuye en cinco rubros priorizando el desarrollo del producto, el trabajo de campo con la comunidad estudiantil y la implementación territorial del piloto.</w:t>
      </w:r>
    </w:p>
    <w:p>
      <w:pPr>
        <w:pStyle w:val="Heading2"/>
      </w:pPr>
      <w:r>
        <w:t xml:space="preserve">Desglose del presupuesto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2%"/>
            <w:shd w:fill="1A3C6E" w:val="clear"/>
          </w:tcPr>
          <w:p>
            <w:pPr>
              <w:spacing w:after="0" w:line="240"/>
              <w:jc w:val="left"/>
            </w:pPr>
            <w:r>
              <w:rPr>
                <w:b/>
                <w:bCs/>
                <w:color w:val="FFFFFF"/>
                <w:sz w:val="19"/>
                <w:szCs w:val="19"/>
              </w:rPr>
              <w:t xml:space="preserve">Rubro</w:t>
            </w:r>
          </w:p>
        </w:tc>
        <w:tc>
          <w:tcPr>
            <w:tcW w:type="pct" w:w="43%"/>
            <w:shd w:fill="1A3C6E" w:val="clear"/>
          </w:tcPr>
          <w:p>
            <w:pPr>
              <w:spacing w:after="0" w:line="240"/>
              <w:jc w:val="left"/>
            </w:pPr>
            <w:r>
              <w:rPr>
                <w:b/>
                <w:bCs/>
                <w:color w:val="FFFFFF"/>
                <w:sz w:val="19"/>
                <w:szCs w:val="19"/>
              </w:rPr>
              <w:t xml:space="preserve">Detalle</w:t>
            </w:r>
          </w:p>
        </w:tc>
        <w:tc>
          <w:tcPr>
            <w:tcW w:type="pct" w:w="13%"/>
            <w:shd w:fill="1A3C6E" w:val="clear"/>
          </w:tcPr>
          <w:p>
            <w:pPr>
              <w:spacing w:after="0" w:line="240"/>
              <w:jc w:val="center"/>
            </w:pPr>
            <w:r>
              <w:rPr>
                <w:b/>
                <w:bCs/>
                <w:color w:val="FFFFFF"/>
                <w:sz w:val="19"/>
                <w:szCs w:val="19"/>
              </w:rPr>
              <w:t xml:space="preserve">Monto (S/)</w:t>
            </w:r>
          </w:p>
        </w:tc>
        <w:tc>
          <w:tcPr>
            <w:tcW w:type="pct" w:w="12%"/>
            <w:shd w:fill="1A3C6E" w:val="clear"/>
          </w:tcPr>
          <w:p>
            <w:pPr>
              <w:spacing w:after="0" w:line="240"/>
              <w:jc w:val="center"/>
            </w:pPr>
            <w:r>
              <w:rPr>
                <w:b/>
                <w:bCs/>
                <w:color w:val="FFFFFF"/>
                <w:sz w:val="19"/>
                <w:szCs w:val="19"/>
              </w:rPr>
              <w:t xml:space="preserve">% del total</w:t>
            </w:r>
          </w:p>
        </w:tc>
      </w:tr>
      <w:tr>
        <w:tc>
          <w:tcPr>
            <w:tcW w:type="pct" w:w="32%"/>
          </w:tcPr>
          <w:p>
            <w:pPr>
              <w:spacing w:after="0" w:line="240"/>
              <w:jc w:val="left"/>
            </w:pPr>
            <w:r>
              <w:rPr>
                <w:b/>
                <w:bCs/>
                <w:color w:val="000000"/>
                <w:sz w:val="19"/>
                <w:szCs w:val="19"/>
              </w:rPr>
              <w:t xml:space="preserve">1. Desarrollo tecnológico</w:t>
            </w:r>
          </w:p>
        </w:tc>
        <w:tc>
          <w:tcPr>
            <w:tcW w:type="pct" w:w="43%"/>
          </w:tcPr>
          <w:p>
            <w:pPr>
              <w:spacing w:after="0" w:line="240"/>
              <w:jc w:val="left"/>
            </w:pPr>
            <w:r>
              <w:rPr>
                <w:b w:val="false"/>
                <w:bCs w:val="false"/>
                <w:color w:val="000000"/>
                <w:sz w:val="18"/>
                <w:szCs w:val="18"/>
              </w:rPr>
              <w:t xml:space="preserve">Servicios cloud (servidor + base de datos), licencias Twilio WhatsApp Business, dominio y certificados SSL, herramientas de despliegue</w:t>
            </w:r>
          </w:p>
        </w:tc>
        <w:tc>
          <w:tcPr>
            <w:tcW w:type="pct" w:w="13%"/>
          </w:tcPr>
          <w:p>
            <w:pPr>
              <w:spacing w:after="0" w:line="240"/>
              <w:jc w:val="center"/>
            </w:pPr>
            <w:r>
              <w:rPr>
                <w:b/>
                <w:bCs/>
                <w:color w:val="000000"/>
                <w:sz w:val="19"/>
                <w:szCs w:val="19"/>
              </w:rPr>
              <w:t xml:space="preserve">3 500</w:t>
            </w:r>
          </w:p>
        </w:tc>
        <w:tc>
          <w:tcPr>
            <w:tcW w:type="pct" w:w="12%"/>
          </w:tcPr>
          <w:p>
            <w:pPr>
              <w:spacing w:after="0" w:line="240"/>
              <w:jc w:val="center"/>
            </w:pPr>
            <w:r>
              <w:rPr>
                <w:b w:val="false"/>
                <w:bCs w:val="false"/>
                <w:color w:val="000000"/>
                <w:sz w:val="19"/>
                <w:szCs w:val="19"/>
              </w:rPr>
              <w:t xml:space="preserve">35 %</w:t>
            </w:r>
          </w:p>
        </w:tc>
      </w:tr>
      <w:tr>
        <w:tc>
          <w:tcPr>
            <w:tcW w:type="pct" w:w="32%"/>
          </w:tcPr>
          <w:p>
            <w:pPr>
              <w:spacing w:after="0" w:line="240"/>
              <w:jc w:val="left"/>
            </w:pPr>
            <w:r>
              <w:rPr>
                <w:b/>
                <w:bCs/>
                <w:color w:val="000000"/>
                <w:sz w:val="19"/>
                <w:szCs w:val="19"/>
              </w:rPr>
              <w:t xml:space="preserve">2. Materiales y logística de campo</w:t>
            </w:r>
          </w:p>
        </w:tc>
        <w:tc>
          <w:tcPr>
            <w:tcW w:type="pct" w:w="43%"/>
          </w:tcPr>
          <w:p>
            <w:pPr>
              <w:spacing w:after="0" w:line="240"/>
              <w:jc w:val="left"/>
            </w:pPr>
            <w:r>
              <w:rPr>
                <w:b w:val="false"/>
                <w:bCs w:val="false"/>
                <w:color w:val="000000"/>
                <w:sz w:val="18"/>
                <w:szCs w:val="18"/>
              </w:rPr>
              <w:t xml:space="preserve">Material gráfico (afiches, stickers QR), volantes, refrigerios para sesiones con la comunidad estudiantil, traslados al piloto</w:t>
            </w:r>
          </w:p>
        </w:tc>
        <w:tc>
          <w:tcPr>
            <w:tcW w:type="pct" w:w="13%"/>
          </w:tcPr>
          <w:p>
            <w:pPr>
              <w:spacing w:after="0" w:line="240"/>
              <w:jc w:val="center"/>
            </w:pPr>
            <w:r>
              <w:rPr>
                <w:b/>
                <w:bCs/>
                <w:color w:val="000000"/>
                <w:sz w:val="19"/>
                <w:szCs w:val="19"/>
              </w:rPr>
              <w:t xml:space="preserve">1 800</w:t>
            </w:r>
          </w:p>
        </w:tc>
        <w:tc>
          <w:tcPr>
            <w:tcW w:type="pct" w:w="12%"/>
          </w:tcPr>
          <w:p>
            <w:pPr>
              <w:spacing w:after="0" w:line="240"/>
              <w:jc w:val="center"/>
            </w:pPr>
            <w:r>
              <w:rPr>
                <w:b w:val="false"/>
                <w:bCs w:val="false"/>
                <w:color w:val="000000"/>
                <w:sz w:val="19"/>
                <w:szCs w:val="19"/>
              </w:rPr>
              <w:t xml:space="preserve">18 %</w:t>
            </w:r>
          </w:p>
        </w:tc>
      </w:tr>
      <w:tr>
        <w:tc>
          <w:tcPr>
            <w:tcW w:type="pct" w:w="32%"/>
          </w:tcPr>
          <w:p>
            <w:pPr>
              <w:spacing w:after="0" w:line="240"/>
              <w:jc w:val="left"/>
            </w:pPr>
            <w:r>
              <w:rPr>
                <w:b/>
                <w:bCs/>
                <w:color w:val="000000"/>
                <w:sz w:val="19"/>
                <w:szCs w:val="19"/>
              </w:rPr>
              <w:t xml:space="preserve">3. Talleres y activación comunitaria</w:t>
            </w:r>
          </w:p>
        </w:tc>
        <w:tc>
          <w:tcPr>
            <w:tcW w:type="pct" w:w="43%"/>
          </w:tcPr>
          <w:p>
            <w:pPr>
              <w:spacing w:after="0" w:line="240"/>
              <w:jc w:val="left"/>
            </w:pPr>
            <w:r>
              <w:rPr>
                <w:b w:val="false"/>
                <w:bCs w:val="false"/>
                <w:color w:val="000000"/>
                <w:sz w:val="18"/>
                <w:szCs w:val="18"/>
              </w:rPr>
              <w:t xml:space="preserve">Tres talleres con estudiantes en universidades aliadas (capacitación de uso y registro de usuarios), una sesión de cierre con autoridades</w:t>
            </w:r>
          </w:p>
        </w:tc>
        <w:tc>
          <w:tcPr>
            <w:tcW w:type="pct" w:w="13%"/>
          </w:tcPr>
          <w:p>
            <w:pPr>
              <w:spacing w:after="0" w:line="240"/>
              <w:jc w:val="center"/>
            </w:pPr>
            <w:r>
              <w:rPr>
                <w:b/>
                <w:bCs/>
                <w:color w:val="000000"/>
                <w:sz w:val="19"/>
                <w:szCs w:val="19"/>
              </w:rPr>
              <w:t xml:space="preserve">2 200</w:t>
            </w:r>
          </w:p>
        </w:tc>
        <w:tc>
          <w:tcPr>
            <w:tcW w:type="pct" w:w="12%"/>
          </w:tcPr>
          <w:p>
            <w:pPr>
              <w:spacing w:after="0" w:line="240"/>
              <w:jc w:val="center"/>
            </w:pPr>
            <w:r>
              <w:rPr>
                <w:b w:val="false"/>
                <w:bCs w:val="false"/>
                <w:color w:val="000000"/>
                <w:sz w:val="19"/>
                <w:szCs w:val="19"/>
              </w:rPr>
              <w:t xml:space="preserve">22 %</w:t>
            </w:r>
          </w:p>
        </w:tc>
      </w:tr>
      <w:tr>
        <w:tc>
          <w:tcPr>
            <w:tcW w:type="pct" w:w="32%"/>
          </w:tcPr>
          <w:p>
            <w:pPr>
              <w:spacing w:after="0" w:line="240"/>
              <w:jc w:val="left"/>
            </w:pPr>
            <w:r>
              <w:rPr>
                <w:b/>
                <w:bCs/>
                <w:color w:val="000000"/>
                <w:sz w:val="19"/>
                <w:szCs w:val="19"/>
              </w:rPr>
              <w:t xml:space="preserve">4. Comunicación y difusión</w:t>
            </w:r>
          </w:p>
        </w:tc>
        <w:tc>
          <w:tcPr>
            <w:tcW w:type="pct" w:w="43%"/>
          </w:tcPr>
          <w:p>
            <w:pPr>
              <w:spacing w:after="0" w:line="240"/>
              <w:jc w:val="left"/>
            </w:pPr>
            <w:r>
              <w:rPr>
                <w:b w:val="false"/>
                <w:bCs w:val="false"/>
                <w:color w:val="000000"/>
                <w:sz w:val="18"/>
                <w:szCs w:val="18"/>
              </w:rPr>
              <w:t xml:space="preserve">Diseño de identidad visual, contenidos para redes sociales, video institucional, pauta digital focalizada a jóvenes universitarios</w:t>
            </w:r>
          </w:p>
        </w:tc>
        <w:tc>
          <w:tcPr>
            <w:tcW w:type="pct" w:w="13%"/>
          </w:tcPr>
          <w:p>
            <w:pPr>
              <w:spacing w:after="0" w:line="240"/>
              <w:jc w:val="center"/>
            </w:pPr>
            <w:r>
              <w:rPr>
                <w:b/>
                <w:bCs/>
                <w:color w:val="000000"/>
                <w:sz w:val="19"/>
                <w:szCs w:val="19"/>
              </w:rPr>
              <w:t xml:space="preserve">1 500</w:t>
            </w:r>
          </w:p>
        </w:tc>
        <w:tc>
          <w:tcPr>
            <w:tcW w:type="pct" w:w="12%"/>
          </w:tcPr>
          <w:p>
            <w:pPr>
              <w:spacing w:after="0" w:line="240"/>
              <w:jc w:val="center"/>
            </w:pPr>
            <w:r>
              <w:rPr>
                <w:b w:val="false"/>
                <w:bCs w:val="false"/>
                <w:color w:val="000000"/>
                <w:sz w:val="19"/>
                <w:szCs w:val="19"/>
              </w:rPr>
              <w:t xml:space="preserve">15 %</w:t>
            </w:r>
          </w:p>
        </w:tc>
      </w:tr>
      <w:tr>
        <w:tc>
          <w:tcPr>
            <w:tcW w:type="pct" w:w="32%"/>
          </w:tcPr>
          <w:p>
            <w:pPr>
              <w:spacing w:after="0" w:line="240"/>
              <w:jc w:val="left"/>
            </w:pPr>
            <w:r>
              <w:rPr>
                <w:b/>
                <w:bCs/>
                <w:color w:val="000000"/>
                <w:sz w:val="19"/>
                <w:szCs w:val="19"/>
              </w:rPr>
              <w:t xml:space="preserve">5. Monitoreo, evaluación y reportes</w:t>
            </w:r>
          </w:p>
        </w:tc>
        <w:tc>
          <w:tcPr>
            <w:tcW w:type="pct" w:w="43%"/>
          </w:tcPr>
          <w:p>
            <w:pPr>
              <w:spacing w:after="0" w:line="240"/>
              <w:jc w:val="left"/>
            </w:pPr>
            <w:r>
              <w:rPr>
                <w:b w:val="false"/>
                <w:bCs w:val="false"/>
                <w:color w:val="000000"/>
                <w:sz w:val="18"/>
                <w:szCs w:val="18"/>
              </w:rPr>
              <w:t xml:space="preserve">Encuestas a usuarios, análisis de datos del piloto, elaboración de informe de avance e informe final de cierre</w:t>
            </w:r>
          </w:p>
        </w:tc>
        <w:tc>
          <w:tcPr>
            <w:tcW w:type="pct" w:w="13%"/>
          </w:tcPr>
          <w:p>
            <w:pPr>
              <w:spacing w:after="0" w:line="240"/>
              <w:jc w:val="center"/>
            </w:pPr>
            <w:r>
              <w:rPr>
                <w:b/>
                <w:bCs/>
                <w:color w:val="000000"/>
                <w:sz w:val="19"/>
                <w:szCs w:val="19"/>
              </w:rPr>
              <w:t xml:space="preserve">1 000</w:t>
            </w:r>
          </w:p>
        </w:tc>
        <w:tc>
          <w:tcPr>
            <w:tcW w:type="pct" w:w="12%"/>
          </w:tcPr>
          <w:p>
            <w:pPr>
              <w:spacing w:after="0" w:line="240"/>
              <w:jc w:val="center"/>
            </w:pPr>
            <w:r>
              <w:rPr>
                <w:b w:val="false"/>
                <w:bCs w:val="false"/>
                <w:color w:val="000000"/>
                <w:sz w:val="19"/>
                <w:szCs w:val="19"/>
              </w:rPr>
              <w:t xml:space="preserve">10 %</w:t>
            </w:r>
          </w:p>
        </w:tc>
      </w:tr>
      <w:tr>
        <w:tc>
          <w:tcPr>
            <w:tcW w:type="pct" w:w="32%"/>
            <w:shd w:fill="1A3C6E" w:val="clear"/>
          </w:tcPr>
          <w:p>
            <w:pPr>
              <w:spacing w:after="0" w:line="240"/>
              <w:jc w:val="left"/>
            </w:pPr>
            <w:r>
              <w:rPr>
                <w:b/>
                <w:bCs/>
                <w:color w:val="FFFFFF"/>
                <w:sz w:val="19"/>
                <w:szCs w:val="19"/>
              </w:rPr>
              <w:t xml:space="preserve">TOTAL</w:t>
            </w:r>
          </w:p>
        </w:tc>
        <w:tc>
          <w:tcPr>
            <w:tcW w:type="pct" w:w="43%"/>
            <w:shd w:fill="1A3C6E" w:val="clear"/>
          </w:tcPr>
          <w:p>
            <w:pPr>
              <w:spacing w:after="0" w:line="240"/>
              <w:jc w:val="left"/>
            </w:pPr>
            <w:r>
              <w:rPr>
                <w:b/>
                <w:bCs/>
                <w:color w:val="FFFFFF"/>
                <w:sz w:val="19"/>
                <w:szCs w:val="19"/>
              </w:rPr>
              <w:t xml:space="preserve">Fondo de Innovación Juvenil PNUD</w:t>
            </w:r>
          </w:p>
        </w:tc>
        <w:tc>
          <w:tcPr>
            <w:tcW w:type="pct" w:w="13%"/>
            <w:shd w:fill="1A3C6E" w:val="clear"/>
          </w:tcPr>
          <w:p>
            <w:pPr>
              <w:spacing w:after="0" w:line="240"/>
              <w:jc w:val="center"/>
            </w:pPr>
            <w:r>
              <w:rPr>
                <w:b/>
                <w:bCs/>
                <w:color w:val="FFFFFF"/>
                <w:sz w:val="19"/>
                <w:szCs w:val="19"/>
              </w:rPr>
              <w:t xml:space="preserve">S/ 10 000</w:t>
            </w:r>
          </w:p>
        </w:tc>
        <w:tc>
          <w:tcPr>
            <w:tcW w:type="pct" w:w="12%"/>
            <w:shd w:fill="1A3C6E" w:val="clear"/>
          </w:tcPr>
          <w:p>
            <w:pPr>
              <w:spacing w:after="0" w:line="240"/>
              <w:jc w:val="center"/>
            </w:pPr>
            <w:r>
              <w:rPr>
                <w:b/>
                <w:bCs/>
                <w:color w:val="FFFFFF"/>
                <w:sz w:val="19"/>
                <w:szCs w:val="19"/>
              </w:rPr>
              <w:t xml:space="preserve">100 %</w:t>
            </w:r>
          </w:p>
        </w:tc>
      </w:tr>
    </w:tbl>
    <w:p>
      <w:pPr>
        <w:spacing w:after="160"/>
      </w:pPr>
      <w:r>
        <w:rPr>
          <w:sz w:val="12"/>
          <w:szCs w:val="12"/>
        </w:rPr>
        <w:t xml:space="preserve"/>
      </w:r>
    </w:p>
    <w:p>
      <w:pPr>
        <w:pStyle w:val="Heading2"/>
      </w:pPr>
      <w:r>
        <w:t xml:space="preserve">Justificación de la distribución</w:t>
      </w:r>
    </w:p>
    <w:p>
      <w:pPr>
        <w:spacing w:after="160" w:line="276"/>
        <w:jc w:val="both"/>
      </w:pPr>
      <w:r>
        <w:rPr>
          <w:sz w:val="22"/>
          <w:szCs w:val="22"/>
        </w:rPr>
        <w:t xml:space="preserve">El 35 % destinado al desarrollo tecnológico asegura que la plataforma quede operativa, escalable y con la cobertura de mensajería WhatsApp necesaria para el piloto. El 40 % combinado de talleres, comunicación y campo garantiza que la solución no se quede en la pantalla: el éxito de PreVe depende de la adopción real por parte de los estudiantes, por lo que la activación comunitaria es estratégica. El 10 % final asegura la rigurosidad del monitoreo y la rendición de cuentas ante el PNUD.</w:t>
      </w:r>
    </w:p>
    <w:p>
      <w:pPr>
        <w:pStyle w:val="Heading2"/>
      </w:pPr>
      <w:r>
        <w:t xml:space="preserve">Sostenibilidad post-piloto</w:t>
      </w:r>
    </w:p>
    <w:p>
      <w:pPr>
        <w:spacing w:after="160" w:line="276"/>
        <w:jc w:val="both"/>
      </w:pPr>
      <w:r>
        <w:rPr>
          <w:sz w:val="22"/>
          <w:szCs w:val="22"/>
        </w:rPr>
        <w:t xml:space="preserve">Tras el piloto, PreVe puede sostenerse mediante: (</w:t>
      </w:r>
      <w:r>
        <w:rPr>
          <w:i/>
          <w:iCs/>
          <w:sz w:val="22"/>
          <w:szCs w:val="22"/>
        </w:rPr>
        <w:t xml:space="preserve">i</w:t>
      </w:r>
      <w:r>
        <w:rPr>
          <w:sz w:val="22"/>
          <w:szCs w:val="22"/>
        </w:rPr>
        <w:t xml:space="preserve">) convenios con universidades que aporten infraestructura tecnológica a cambio de mejorar la seguridad de su comunidad estudiantil; (</w:t>
      </w:r>
      <w:r>
        <w:rPr>
          <w:i/>
          <w:iCs/>
          <w:sz w:val="22"/>
          <w:szCs w:val="22"/>
        </w:rPr>
        <w:t xml:space="preserve">ii</w:t>
      </w:r>
      <w:r>
        <w:rPr>
          <w:sz w:val="22"/>
          <w:szCs w:val="22"/>
        </w:rPr>
        <w:t xml:space="preserve">) acuerdos con municipalidades interesadas en los datos agregados; y (</w:t>
      </w:r>
      <w:r>
        <w:rPr>
          <w:i/>
          <w:iCs/>
          <w:sz w:val="22"/>
          <w:szCs w:val="22"/>
        </w:rPr>
        <w:t xml:space="preserve">iii</w:t>
      </w:r>
      <w:r>
        <w:rPr>
          <w:sz w:val="22"/>
          <w:szCs w:val="22"/>
        </w:rPr>
        <w:t xml:space="preserve">) postulación a fondos concursables nacionales e internacionales sobre innovación social. El bajo costo operativo (Twilio en planes iniciales gratuitos, infraestructura en capas gratuitas de Vercel/Railway) hace viable la operación con presupuestos mínimos.</w:t>
      </w:r>
    </w:p>
    <w:p>
      <w:pPr>
        <w:pStyle w:val="Heading2"/>
      </w:pPr>
      <w:r>
        <w:t xml:space="preserve">Tipo de cambio aplicado</w:t>
      </w:r>
    </w:p>
    <w:p>
      <w:pPr>
        <w:spacing w:after="160" w:line="276"/>
        <w:jc w:val="both"/>
      </w:pPr>
      <w:r>
        <w:rPr>
          <w:sz w:val="22"/>
          <w:szCs w:val="22"/>
        </w:rPr>
        <w:t xml:space="preserve">Todos los montos están expresados en soles (PEN), moneda nacional, conforme al pie de página del Anexo 2 del concurso. Para conversiones de servicios cloud cotizados en USD se aplicará el tipo de cambio operacional de Naciones Unidas vigente al momento del desembolso, según el enlace oficial del Tesoro de las Naciones Unidas.</w:t>
      </w:r>
    </w:p>
    <w:p>
      <w:pPr>
        <w:pStyle w:val="Heading1"/>
      </w:pPr>
      <w:r>
        <w:t xml:space="preserve">Referencias (APA 7.ª edición)</w:t>
      </w:r>
    </w:p>
    <w:p>
      <w:pPr>
        <w:spacing w:after="120" w:line="264"/>
        <w:ind w:left="720" w:hanging="720"/>
      </w:pPr>
      <w:r>
        <w:rPr>
          <w:sz w:val="20"/>
          <w:szCs w:val="20"/>
        </w:rPr>
        <w:t xml:space="preserve">Carleton, B., Cunningham, B. y Thorkildsen, Z. (2020). </w:t>
      </w:r>
      <w:r>
        <w:rPr>
          <w:i/>
          <w:iCs/>
          <w:sz w:val="20"/>
          <w:szCs w:val="20"/>
        </w:rPr>
        <w:t xml:space="preserve">The use of predictive analytics in policing</w:t>
      </w:r>
      <w:r>
        <w:rPr>
          <w:sz w:val="20"/>
          <w:szCs w:val="20"/>
        </w:rPr>
        <w:t xml:space="preserve">. CNA / Bureau of Justice Assistance. </w:t>
      </w:r>
      <w:hyperlink w:history="1" r:id="rId9l0vdunsfrie_465uqwvy">
        <w:r>
          <w:rPr>
            <w:rStyle w:val="Hyperlink"/>
            <w:sz w:val="20"/>
            <w:szCs w:val="20"/>
          </w:rPr>
          <w:t xml:space="preserve">https://apps.dtic.mil/sti/trecms/pdf/AD1145696.pdf</w:t>
        </w:r>
      </w:hyperlink>
    </w:p>
    <w:p>
      <w:pPr>
        <w:spacing w:after="120" w:line="264"/>
        <w:ind w:left="720" w:hanging="720"/>
      </w:pPr>
      <w:r>
        <w:rPr>
          <w:sz w:val="20"/>
          <w:szCs w:val="20"/>
        </w:rPr>
        <w:t xml:space="preserve">Cohen, L. E. y Felson, M. (1979). </w:t>
      </w:r>
      <w:r>
        <w:rPr>
          <w:i/>
          <w:iCs/>
          <w:sz w:val="20"/>
          <w:szCs w:val="20"/>
        </w:rPr>
        <w:t xml:space="preserve">Social change and crime rate trends: A routine activity approach</w:t>
      </w:r>
      <w:r>
        <w:rPr>
          <w:sz w:val="20"/>
          <w:szCs w:val="20"/>
        </w:rPr>
        <w:t xml:space="preserve">. American Sociological Review, 44(4), 588-608. </w:t>
      </w:r>
      <w:hyperlink w:history="1" r:id="rIdpqp3tnklyw7owzqlq0trm">
        <w:r>
          <w:rPr>
            <w:rStyle w:val="Hyperlink"/>
            <w:sz w:val="20"/>
            <w:szCs w:val="20"/>
          </w:rPr>
          <w:t xml:space="preserve">https://www.jstor.org/stable/2094589</w:t>
        </w:r>
      </w:hyperlink>
    </w:p>
    <w:p>
      <w:pPr>
        <w:spacing w:after="120" w:line="264"/>
        <w:ind w:left="720" w:hanging="720"/>
      </w:pPr>
      <w:r>
        <w:rPr>
          <w:sz w:val="20"/>
          <w:szCs w:val="20"/>
        </w:rPr>
        <w:t xml:space="preserve">Congreso de la República del Perú. (2003). </w:t>
      </w:r>
      <w:r>
        <w:rPr>
          <w:i/>
          <w:iCs/>
          <w:sz w:val="20"/>
          <w:szCs w:val="20"/>
        </w:rPr>
        <w:t xml:space="preserve">Ley N.º 27933, Ley del Sistema Nacional de Seguridad Ciudadana</w:t>
      </w:r>
      <w:r>
        <w:rPr>
          <w:sz w:val="20"/>
          <w:szCs w:val="20"/>
        </w:rPr>
        <w:t xml:space="preserve">. </w:t>
      </w:r>
      <w:hyperlink w:history="1" r:id="rIdk4uxcclgwzkok7bvds7d4">
        <w:r>
          <w:rPr>
            <w:rStyle w:val="Hyperlink"/>
            <w:sz w:val="20"/>
            <w:szCs w:val="20"/>
          </w:rPr>
          <w:t xml:space="preserve">https://www.muniate.gob.pe/wp-content/uploads/2025/07/Ley-No-27933-Ley-del-Sistema-Nacional-de-Seguridad-Ciudadana.pdf</w:t>
        </w:r>
      </w:hyperlink>
    </w:p>
    <w:p>
      <w:pPr>
        <w:spacing w:after="120" w:line="264"/>
        <w:ind w:left="720" w:hanging="720"/>
      </w:pPr>
      <w:r>
        <w:rPr>
          <w:sz w:val="20"/>
          <w:szCs w:val="20"/>
        </w:rPr>
        <w:t xml:space="preserve">El Comercio. (2024, 24 de agosto). </w:t>
      </w:r>
      <w:r>
        <w:rPr>
          <w:i/>
          <w:iCs/>
          <w:sz w:val="20"/>
          <w:szCs w:val="20"/>
        </w:rPr>
        <w:t xml:space="preserve">Lima Centro duplicó la cifra de denuncias por delitos del 2021</w:t>
      </w:r>
      <w:r>
        <w:rPr>
          <w:sz w:val="20"/>
          <w:szCs w:val="20"/>
        </w:rPr>
        <w:t xml:space="preserve">. El Comercio. </w:t>
      </w:r>
      <w:hyperlink w:history="1" r:id="rIdrqmzvdlabiaz51ceb-mjv">
        <w:r>
          <w:rPr>
            <w:rStyle w:val="Hyperlink"/>
            <w:sz w:val="20"/>
            <w:szCs w:val="20"/>
          </w:rPr>
          <w:t xml:space="preserve">https://elcomercio.pe/lima/seguridad/lima-centro-duplico-la-cifra-de-denuncias-por-delitos-del-2021-noticia/</w:t>
        </w:r>
      </w:hyperlink>
    </w:p>
    <w:p>
      <w:pPr>
        <w:spacing w:after="120" w:line="264"/>
        <w:ind w:left="720" w:hanging="720"/>
      </w:pPr>
      <w:r>
        <w:rPr>
          <w:sz w:val="20"/>
          <w:szCs w:val="20"/>
        </w:rPr>
        <w:t xml:space="preserve">Infobae. (2024, 15 de julio). </w:t>
      </w:r>
      <w:r>
        <w:rPr>
          <w:i/>
          <w:iCs/>
          <w:sz w:val="20"/>
          <w:szCs w:val="20"/>
        </w:rPr>
        <w:t xml:space="preserve">Asaltos en Surco: Estudiantes de la Universidad de Lima denuncian robos de laptops y celulares</w:t>
      </w:r>
      <w:r>
        <w:rPr>
          <w:sz w:val="20"/>
          <w:szCs w:val="20"/>
        </w:rPr>
        <w:t xml:space="preserve">. Infobae. </w:t>
      </w:r>
      <w:hyperlink w:history="1" r:id="rIdf2mrwpaczqwoa-cicanti">
        <w:r>
          <w:rPr>
            <w:rStyle w:val="Hyperlink"/>
            <w:sz w:val="20"/>
            <w:szCs w:val="20"/>
          </w:rPr>
          <w:t xml:space="preserve">https://www.infobae.com/peru/2024/07/15/asaltos-en-surco-estudiantes-de-la-universidad-de-lima-denuncian-robos-de-laptops-y-celulares/</w:t>
        </w:r>
      </w:hyperlink>
    </w:p>
    <w:p>
      <w:pPr>
        <w:spacing w:after="120" w:line="264"/>
        <w:ind w:left="720" w:hanging="720"/>
      </w:pPr>
      <w:r>
        <w:rPr>
          <w:sz w:val="20"/>
          <w:szCs w:val="20"/>
        </w:rPr>
        <w:t xml:space="preserve">Infobae. (2024, 9 de octubre). </w:t>
      </w:r>
      <w:r>
        <w:rPr>
          <w:i/>
          <w:iCs/>
          <w:sz w:val="20"/>
          <w:szCs w:val="20"/>
        </w:rPr>
        <w:t xml:space="preserve">Delincuentes encañonan y asaltan a estudiantes de la PUCP</w:t>
      </w:r>
      <w:r>
        <w:rPr>
          <w:sz w:val="20"/>
          <w:szCs w:val="20"/>
        </w:rPr>
        <w:t xml:space="preserve">. Infobae. </w:t>
      </w:r>
      <w:hyperlink w:history="1" r:id="rIdekdu0fsurtpdycbh3da9d">
        <w:r>
          <w:rPr>
            <w:rStyle w:val="Hyperlink"/>
            <w:sz w:val="20"/>
            <w:szCs w:val="20"/>
          </w:rPr>
          <w:t xml:space="preserve">https://www.infobae.com/peru/2024/10/09/delincuentes-encanonan-y-asaltan-a-estudiantes-de-la-pucp-se-llevaron-camioneta-celulares-y-laptops/</w:t>
        </w:r>
      </w:hyperlink>
    </w:p>
    <w:p>
      <w:pPr>
        <w:spacing w:after="120" w:line="264"/>
        <w:ind w:left="720" w:hanging="720"/>
      </w:pPr>
      <w:r>
        <w:rPr>
          <w:sz w:val="20"/>
          <w:szCs w:val="20"/>
        </w:rPr>
        <w:t xml:space="preserve">Instituto Nacional de Estadística e Informática [INEI]. (2024). </w:t>
      </w:r>
      <w:r>
        <w:rPr>
          <w:i/>
          <w:iCs/>
          <w:sz w:val="20"/>
          <w:szCs w:val="20"/>
        </w:rPr>
        <w:t xml:space="preserve">Victimización en el Perú 2024</w:t>
      </w:r>
      <w:r>
        <w:rPr>
          <w:sz w:val="20"/>
          <w:szCs w:val="20"/>
        </w:rPr>
        <w:t xml:space="preserve">. </w:t>
      </w:r>
      <w:hyperlink w:history="1" r:id="rIdf1djkt83it55ogbwidy6p">
        <w:r>
          <w:rPr>
            <w:rStyle w:val="Hyperlink"/>
            <w:sz w:val="20"/>
            <w:szCs w:val="20"/>
          </w:rPr>
          <w:t xml:space="preserve">https://www.inei.gob.pe/media/MenuRecursivo/publicaciones_digitales/Est/Lib2013/index.html</w:t>
        </w:r>
      </w:hyperlink>
    </w:p>
    <w:p>
      <w:pPr>
        <w:spacing w:after="120" w:line="264"/>
        <w:ind w:left="720" w:hanging="720"/>
      </w:pPr>
      <w:r>
        <w:rPr>
          <w:sz w:val="20"/>
          <w:szCs w:val="20"/>
        </w:rPr>
        <w:t xml:space="preserve">Kang, H.-W. y Kang, H.-B. (2017). </w:t>
      </w:r>
      <w:r>
        <w:rPr>
          <w:i/>
          <w:iCs/>
          <w:sz w:val="20"/>
          <w:szCs w:val="20"/>
        </w:rPr>
        <w:t xml:space="preserve">Prediction of crime occurrence from multi-modal data using deep learning</w:t>
      </w:r>
      <w:r>
        <w:rPr>
          <w:sz w:val="20"/>
          <w:szCs w:val="20"/>
        </w:rPr>
        <w:t xml:space="preserve">. PLOS ONE, 12(4), e0176244. </w:t>
      </w:r>
      <w:hyperlink w:history="1" r:id="rId2fxou3ce-wuirqu44ofd2">
        <w:r>
          <w:rPr>
            <w:rStyle w:val="Hyperlink"/>
            <w:sz w:val="20"/>
            <w:szCs w:val="20"/>
          </w:rPr>
          <w:t xml:space="preserve">https://journals.plos.org/plosone/article?id=10.1371/journal.pone.0176244</w:t>
        </w:r>
      </w:hyperlink>
    </w:p>
    <w:p>
      <w:pPr>
        <w:spacing w:after="120" w:line="264"/>
        <w:ind w:left="720" w:hanging="720"/>
      </w:pPr>
      <w:r>
        <w:rPr>
          <w:sz w:val="20"/>
          <w:szCs w:val="20"/>
        </w:rPr>
        <w:t xml:space="preserve">Ministerio del Interior [MININTER]. (2022). </w:t>
      </w:r>
      <w:r>
        <w:rPr>
          <w:i/>
          <w:iCs/>
          <w:sz w:val="20"/>
          <w:szCs w:val="20"/>
        </w:rPr>
        <w:t xml:space="preserve">Política Nacional Multisectorial de Seguridad Ciudadana al 2030 [Decreto Supremo N.º 006-2022-IN]</w:t>
      </w:r>
      <w:r>
        <w:rPr>
          <w:sz w:val="20"/>
          <w:szCs w:val="20"/>
        </w:rPr>
        <w:t xml:space="preserve">. </w:t>
      </w:r>
      <w:hyperlink w:history="1" r:id="rIdal-u24jnfxtn2zxvgzx6b">
        <w:r>
          <w:rPr>
            <w:rStyle w:val="Hyperlink"/>
            <w:sz w:val="20"/>
            <w:szCs w:val="20"/>
          </w:rPr>
          <w:t xml:space="preserve">https://www.gob.pe/institucion/mininter/informes-publicaciones/3150919-politica-nacional-multisectorial-de-seguridad-ciudadana-al-2030</w:t>
        </w:r>
      </w:hyperlink>
    </w:p>
    <w:p>
      <w:pPr>
        <w:spacing w:after="120" w:line="264"/>
        <w:ind w:left="720" w:hanging="720"/>
      </w:pPr>
      <w:r>
        <w:rPr>
          <w:sz w:val="20"/>
          <w:szCs w:val="20"/>
        </w:rPr>
        <w:t xml:space="preserve">RPP. (2023, 5 de mayo). </w:t>
      </w:r>
      <w:r>
        <w:rPr>
          <w:i/>
          <w:iCs/>
          <w:sz w:val="20"/>
          <w:szCs w:val="20"/>
        </w:rPr>
        <w:t xml:space="preserve">Inseguridad en Los Olivos: delincuentes asaltan en grupo a universitarios</w:t>
      </w:r>
      <w:r>
        <w:rPr>
          <w:sz w:val="20"/>
          <w:szCs w:val="20"/>
        </w:rPr>
        <w:t xml:space="preserve">. RPP Noticias. </w:t>
      </w:r>
      <w:hyperlink w:history="1" r:id="rIdrq7qxst4pkb3oqi2q4tjh">
        <w:r>
          <w:rPr>
            <w:rStyle w:val="Hyperlink"/>
            <w:sz w:val="20"/>
            <w:szCs w:val="20"/>
          </w:rPr>
          <w:t xml:space="preserve">https://rpp.pe/lima/policiales/los-olivos-delincuentes-asaltan-en-grupo-a-universitarios-en-la-avenida-alfredo-mendiola-noticia-1482640</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color w:val="1A3C6E"/>
      <w:sz w:val="36"/>
      <w:szCs w:val="36"/>
    </w:rPr>
  </w:style>
  <w:style w:type="paragraph" w:styleId="Heading1">
    <w:name w:val="Heading 1"/>
    <w:basedOn w:val="Normal"/>
    <w:next w:val="Normal"/>
    <w:qFormat/>
    <w:pPr>
      <w:spacing w:after="160" w:before="280"/>
      <w:outlineLvl w:val="0"/>
    </w:pPr>
    <w:rPr>
      <w:rFonts w:ascii="Arial" w:cs="Arial" w:eastAsia="Arial" w:hAnsi="Arial"/>
      <w:b/>
      <w:bCs/>
      <w:color w:val="1A3C6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l0vdunsfrie_465uqwvy" Type="http://schemas.openxmlformats.org/officeDocument/2006/relationships/hyperlink" Target="https://apps.dtic.mil/sti/trecms/pdf/AD1145696.pdf" TargetMode="External"/><Relationship Id="rIdpqp3tnklyw7owzqlq0trm" Type="http://schemas.openxmlformats.org/officeDocument/2006/relationships/hyperlink" Target="https://www.jstor.org/stable/2094589" TargetMode="External"/><Relationship Id="rIdk4uxcclgwzkok7bvds7d4" Type="http://schemas.openxmlformats.org/officeDocument/2006/relationships/hyperlink" Target="https://www.muniate.gob.pe/wp-content/uploads/2025/07/Ley-No-27933-Ley-del-Sistema-Nacional-de-Seguridad-Ciudadana.pdf" TargetMode="External"/><Relationship Id="rIdrqmzvdlabiaz51ceb-mjv" Type="http://schemas.openxmlformats.org/officeDocument/2006/relationships/hyperlink" Target="https://elcomercio.pe/lima/seguridad/lima-centro-duplico-la-cifra-de-denuncias-por-delitos-del-2021-noticia/" TargetMode="External"/><Relationship Id="rIdf2mrwpaczqwoa-cicanti" Type="http://schemas.openxmlformats.org/officeDocument/2006/relationships/hyperlink" Target="https://www.infobae.com/peru/2024/07/15/asaltos-en-surco-estudiantes-de-la-universidad-de-lima-denuncian-robos-de-laptops-y-celulares/" TargetMode="External"/><Relationship Id="rIdekdu0fsurtpdycbh3da9d" Type="http://schemas.openxmlformats.org/officeDocument/2006/relationships/hyperlink" Target="https://www.infobae.com/peru/2024/10/09/delincuentes-encanonan-y-asaltan-a-estudiantes-de-la-pucp-se-llevaron-camioneta-celulares-y-laptops/" TargetMode="External"/><Relationship Id="rIdf1djkt83it55ogbwidy6p" Type="http://schemas.openxmlformats.org/officeDocument/2006/relationships/hyperlink" Target="https://www.inei.gob.pe/media/MenuRecursivo/publicaciones_digitales/Est/Lib2013/index.html" TargetMode="External"/><Relationship Id="rId2fxou3ce-wuirqu44ofd2" Type="http://schemas.openxmlformats.org/officeDocument/2006/relationships/hyperlink" Target="https://journals.plos.org/plosone/article?id=10.1371/journal.pone.0176244" TargetMode="External"/><Relationship Id="rIdal-u24jnfxtn2zxvgzx6b" Type="http://schemas.openxmlformats.org/officeDocument/2006/relationships/hyperlink" Target="https://www.gob.pe/institucion/mininter/informes-publicaciones/3150919-politica-nacional-multisectorial-de-seguridad-ciudadana-al-2030" TargetMode="External"/><Relationship Id="rIdrq7qxst4pkb3oqi2q4tjh" Type="http://schemas.openxmlformats.org/officeDocument/2006/relationships/hyperlink" Target="https://rpp.pe/lima/policiales/los-olivos-delincuentes-asaltan-en-grupo-a-universitarios-en-la-avenida-alfredo-mendiola-noticia-1482640" TargetMode="External"/><Relationship Id="rId7" Type="http://schemas.openxmlformats.org/officeDocument/2006/relationships/image" Target="media/fd502a066f03d44a3cfc09ee3cf1afb09c502c91.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2026-06-28T08:37:53.644Z</dcterms:created>
  <dcterms:modified xsi:type="dcterms:W3CDTF">2026-06-28T08:37:53.655Z</dcterms:modified>
</cp:coreProperties>
</file>

<file path=docProps/custom.xml><?xml version="1.0" encoding="utf-8"?>
<Properties xmlns="http://schemas.openxmlformats.org/officeDocument/2006/custom-properties" xmlns:vt="http://schemas.openxmlformats.org/officeDocument/2006/docPropsVTypes"/>
</file>