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Anexo — Análisis Detallado del Problema</w:t>
      </w:r>
    </w:p>
    <w:p>
      <w:pPr>
        <w:spacing w:after="80"/>
        <w:jc w:val="center"/>
      </w:pPr>
      <w:r>
        <w:rPr>
          <w:i/>
          <w:iCs/>
          <w:color w:val="555555"/>
          <w:sz w:val="21"/>
          <w:szCs w:val="21"/>
        </w:rPr>
        <w:t xml:space="preserve">Proyecto PreVe — Plataforma ciudadana inteligente para la prevención de robos en Lima Centro</w:t>
      </w:r>
    </w:p>
    <w:p>
      <w:pPr>
        <w:pBdr>
          <w:bottom w:val="single" w:color="2563EB" w:sz="12" w:space="4"/>
        </w:pBdr>
        <w:spacing w:after="240"/>
        <w:jc w:val="center"/>
      </w:pPr>
      <w:r>
        <w:rPr>
          <w:color w:val="555555"/>
          <w:sz w:val="20"/>
          <w:szCs w:val="20"/>
        </w:rPr>
        <w:t xml:space="preserve">Hackathon RedPública (PNUD) — Edición Seguridad Ciudadana</w:t>
      </w:r>
    </w:p>
    <w:p>
      <w:pPr>
        <w:spacing w:after="160" w:line="276"/>
        <w:jc w:val="both"/>
      </w:pPr>
      <w:r>
        <w:rPr>
          <w:sz w:val="22"/>
          <w:szCs w:val="22"/>
        </w:rPr>
        <w:t xml:space="preserve">El presente anexo amplía y profundiza el diagnóstico expuesto en el resumen ejecutivo (Punto A). Su objetivo es ofrecer al jurado un análisis riguroso del problema de la inseguridad ciudadana en Lima Centro, abordando cuatro dimensiones: (</w:t>
      </w:r>
      <w:r>
        <w:rPr>
          <w:i/>
          <w:iCs/>
          <w:sz w:val="22"/>
          <w:szCs w:val="22"/>
        </w:rPr>
        <w:t xml:space="preserve">i</w:t>
      </w:r>
      <w:r>
        <w:rPr>
          <w:sz w:val="22"/>
          <w:szCs w:val="22"/>
        </w:rPr>
        <w:t xml:space="preserve">) un marco teórico criminológico que fundamenta científicamente la propuesta; (</w:t>
      </w:r>
      <w:r>
        <w:rPr>
          <w:i/>
          <w:iCs/>
          <w:sz w:val="22"/>
          <w:szCs w:val="22"/>
        </w:rPr>
        <w:t xml:space="preserve">ii</w:t>
      </w:r>
      <w:r>
        <w:rPr>
          <w:sz w:val="22"/>
          <w:szCs w:val="22"/>
        </w:rPr>
        <w:t xml:space="preserve">) las causas estructurales que originan y perpetúan el fenómeno; (</w:t>
      </w:r>
      <w:r>
        <w:rPr>
          <w:i/>
          <w:iCs/>
          <w:sz w:val="22"/>
          <w:szCs w:val="22"/>
        </w:rPr>
        <w:t xml:space="preserve">iii</w:t>
      </w:r>
      <w:r>
        <w:rPr>
          <w:sz w:val="22"/>
          <w:szCs w:val="22"/>
        </w:rPr>
        <w:t xml:space="preserve">) un análisis comparativo por distrito dentro de Lima Centro; y (</w:t>
      </w:r>
      <w:r>
        <w:rPr>
          <w:i/>
          <w:iCs/>
          <w:sz w:val="22"/>
          <w:szCs w:val="22"/>
        </w:rPr>
        <w:t xml:space="preserve">iv</w:t>
      </w:r>
      <w:r>
        <w:rPr>
          <w:sz w:val="22"/>
          <w:szCs w:val="22"/>
        </w:rPr>
        <w:t xml:space="preserve">) el marco legal y de políticas públicas vigente. Finalmente, se incorpora un análisis predictivo que proyecta la evolución del problema y fundamenta la urgencia de la intervención.</w:t>
      </w:r>
    </w:p>
    <w:p>
      <w:pPr>
        <w:pStyle w:val="Heading1"/>
      </w:pPr>
      <w:r>
        <w:t xml:space="preserve">1. Marco teórico criminológico</w:t>
      </w:r>
    </w:p>
    <w:p>
      <w:pPr>
        <w:spacing w:after="160" w:line="276"/>
        <w:jc w:val="both"/>
      </w:pPr>
      <w:r>
        <w:rPr>
          <w:sz w:val="22"/>
          <w:szCs w:val="22"/>
        </w:rPr>
        <w:t xml:space="preserve">La propuesta PreVe no se sustenta únicamente en datos coyunturales, sino en un cuerpo consolidado de teoría criminológica que explica por qué la información comunitaria oportuna y la prevención situacional reducen el delito. Esta sección expone las cuatro teorías que fundamentan científicamente la intervención.</w:t>
      </w:r>
    </w:p>
    <w:p>
      <w:pPr>
        <w:pStyle w:val="Heading2"/>
      </w:pPr>
      <w:r>
        <w:t xml:space="preserve">1.1. Teoría de las actividades rutinarias (Cohen y Felson, 1979)</w:t>
      </w:r>
    </w:p>
    <w:p>
      <w:pPr>
        <w:spacing w:after="160" w:line="276"/>
        <w:jc w:val="both"/>
      </w:pPr>
      <w:r>
        <w:rPr>
          <w:sz w:val="22"/>
          <w:szCs w:val="22"/>
        </w:rPr>
        <w:t xml:space="preserve">Formulada por Lawrence Cohen y Marcus Felson en 1979, esta teoría sostiene que un delito ocurre cuando convergen en un mismo espacio-tiempo tres elementos: un delincuente motivado, un objetivo o víctima propicia, y la ausencia de un guardián capaz de impedirlo (Cohen y Felson, 1979). Si falta cualquiera de los tres, el delito no se concreta. La relevancia para PreVe es directa: nuestra plataforma actúa sobre el tercer elemento —la guardianía—, transformando a la comunidad informada en un “guardián capaz” colectivo. Como señala la literatura, muchas estrategias modernas de prevención buscan precisamente reforzar la presencia de guardianes mediante vigilancia tecnológica y participación comunitaria (Felson y Clarke, 1998).</w:t>
      </w:r>
    </w:p>
    <w:p>
      <w:pPr>
        <w:pStyle w:val="Heading2"/>
      </w:pPr>
      <w:r>
        <w:t xml:space="preserve">1.2. Teoría de las ventanas rotas (Wilson y Kelling, 1982)</w:t>
      </w:r>
    </w:p>
    <w:p>
      <w:pPr>
        <w:spacing w:after="160" w:line="276"/>
        <w:jc w:val="both"/>
      </w:pPr>
      <w:r>
        <w:rPr>
          <w:sz w:val="22"/>
          <w:szCs w:val="22"/>
        </w:rPr>
        <w:t xml:space="preserve">James Q. Wilson y George Kelling (1982) plantearon que el desorden visible y la falta de cuidado en un entorno urbano —ventanas rotas sin reparar, grafitis, abandono— generan un ambiente que incita a la delincuencia y la desviación social. La implicación para PreVe es que la visibilización temprana de incidentes y la respuesta comunitaria organizada interrumpen ese ciclo de deterioro: una zona donde los vecinos reportan, se informan y reaccionan transmite señales de orden y control social que desincentivan el delito (Wilson y Kelling, 1982).</w:t>
      </w:r>
    </w:p>
    <w:p>
      <w:pPr>
        <w:pStyle w:val="Heading2"/>
      </w:pPr>
      <w:r>
        <w:t xml:space="preserve">1.3. Teoría de la eficacia colectiva y desorganización social</w:t>
      </w:r>
    </w:p>
    <w:p>
      <w:pPr>
        <w:spacing w:after="160" w:line="276"/>
        <w:jc w:val="both"/>
      </w:pPr>
      <w:r>
        <w:rPr>
          <w:sz w:val="22"/>
          <w:szCs w:val="22"/>
        </w:rPr>
        <w:t xml:space="preserve">La teoría de la desorganización social y su desarrollo posterior, la eficacia colectiva, sostienen que las comunidades con fuertes lazos sociales y disposición a la acción común presentan menores tasas de criminalidad. Cuando el tejido social se fragmenta y las redes de protección se debilitan —condición que el propio PNUD identifica en los territorios más afectados—, la capacidad de la comunidad para ejercer control informal disminuye. PreVe contribuye a reconstruir esa eficacia colectiva, dotando a los vecinos de una herramienta compartida de coordinación y respuesta.</w:t>
      </w:r>
    </w:p>
    <w:p>
      <w:pPr>
        <w:pStyle w:val="Heading2"/>
      </w:pPr>
      <w:r>
        <w:t xml:space="preserve">1.4. Prevención situacional y mapeo predictivo del delito</w:t>
      </w:r>
    </w:p>
    <w:p>
      <w:pPr>
        <w:spacing w:after="160" w:line="276"/>
        <w:jc w:val="both"/>
      </w:pPr>
      <w:r>
        <w:rPr>
          <w:sz w:val="22"/>
          <w:szCs w:val="22"/>
        </w:rPr>
        <w:t xml:space="preserve">La prevención situacional del delito propone reducir las oportunidades delictivas modificando el entorno. En su versión contemporánea, esto se apoya en el mapeo del delito y el análisis predictivo. La evidencia internacional es sólida: estudios sobre “hot spots” o focos de concentración delictiva muestran que identificar geográficamente los clústeres de criminalidad permite orientar la prevención de forma mucho más eficiente que el patrullaje genérico (Carleton et al., 2020). Diversas ciudades —Los Ángeles, Londres, Múnich, Zúrich— han probado software predictivo basado en aprendizaje automático para anticipar dónde es más probable que ocurra un delito (Babuta y Oswald, 2019). En esta misma línea, la literatura técnica ha demostrado la utilidad de algoritmos como Random Forest y modelos espacio-temporales para la predicción del delito a partir de datos urbanos (Kang y Kang, 2017). PreVe adopta este enfoque, validado académicamente, adaptándolo a un modelo de bajo costo y alimentado por reportes ciudadanos.</w:t>
      </w:r>
    </w:p>
    <w:p>
      <w:pPr>
        <w:pBdr>
          <w:top w:val="single" w:color="2563EB" w:sz="6" w:space="6"/>
          <w:left w:val="single" w:color="2563EB" w:sz="18" w:space="8"/>
          <w:bottom w:val="single" w:color="2563EB" w:sz="6" w:space="6"/>
          <w:right w:val="single" w:color="2563EB" w:sz="6" w:space="6"/>
        </w:pBdr>
        <w:shd w:fill="EFF4FF" w:val="clear"/>
        <w:spacing w:after="160" w:before="160"/>
      </w:pPr>
      <w:r>
        <w:rPr>
          <w:b/>
          <w:bCs/>
          <w:color w:val="2563EB"/>
          <w:sz w:val="20"/>
          <w:szCs w:val="20"/>
        </w:rPr>
        <w:t xml:space="preserve">📷 INSERTAR IMAGEN AQUÍ — </w:t>
      </w:r>
      <w:r>
        <w:rPr>
          <w:b/>
          <w:bCs/>
          <w:sz w:val="20"/>
          <w:szCs w:val="20"/>
        </w:rPr>
        <w:t xml:space="preserve">Esquema de la Teoría de las Actividades Rutinarias (triángulo del delito)</w:t>
      </w:r>
      <w:r>
        <w:br/>
        <w:t xml:space="preserve"/>
      </w:r>
      <w:r>
        <w:rPr>
          <w:i/>
          <w:iCs/>
          <w:color w:val="555555"/>
          <w:sz w:val="18"/>
          <w:szCs w:val="18"/>
        </w:rPr>
        <w:t xml:space="preserve">Opcional pero recomendado: inserta un esquema del “triángulo del delito” (delincuente motivado + objetivo propicio + ausencia de guardián). Puedes crearlo tú mismo o capturar uno de una fuente académica abierta.</w:t>
      </w:r>
      <w:r>
        <w:br/>
        <w:t xml:space="preserve"/>
      </w:r>
      <w:r>
        <w:rPr>
          <w:color w:val="555555"/>
          <w:sz w:val="18"/>
          <w:szCs w:val="18"/>
        </w:rPr>
        <w:t xml:space="preserve">Fuente para capturar: </w:t>
      </w:r>
      <w:hyperlink w:history="1" r:id="rIdjp9-t_pyqnxhra1xgno9s">
        <w:r>
          <w:rPr>
            <w:rStyle w:val="Hyperlink"/>
            <w:sz w:val="18"/>
            <w:szCs w:val="18"/>
          </w:rPr>
          <w:t xml:space="preserve">https://es.wikipedia.org/wiki/Teor%C3%ADa_de_las_actividades_rutinarias</w:t>
        </w:r>
      </w:hyperlink>
      <w:r>
        <w:br/>
        <w:t xml:space="preserve"/>
        <w:br/>
        <w:t xml:space="preserve"/>
      </w:r>
      <w:r>
        <w:rPr>
          <w:b/>
          <w:bCs/>
          <w:color w:val="B45309"/>
          <w:sz w:val="18"/>
          <w:szCs w:val="18"/>
        </w:rPr>
        <w:t xml:space="preserve">Referencia para pegar debajo de la imagen:</w:t>
      </w:r>
      <w:r>
        <w:br/>
        <w:t xml:space="preserve"/>
      </w:r>
      <w:r>
        <w:rPr>
          <w:sz w:val="18"/>
          <w:szCs w:val="18"/>
        </w:rPr>
        <w:t xml:space="preserve">Figura 4. </w:t>
      </w:r>
      <w:r>
        <w:rPr>
          <w:i/>
          <w:iCs/>
          <w:sz w:val="18"/>
          <w:szCs w:val="18"/>
        </w:rPr>
        <w:t xml:space="preserve">Triángulo del delito según la Teoría de las Actividades Rutinarias. </w:t>
      </w:r>
      <w:r>
        <w:rPr>
          <w:sz w:val="18"/>
          <w:szCs w:val="18"/>
        </w:rPr>
        <w:t xml:space="preserve">Adaptado de Cohen y Felson (1979).</w:t>
      </w:r>
    </w:p>
    <w:p>
      <w:pPr>
        <w:pStyle w:val="Heading1"/>
      </w:pPr>
      <w:r>
        <w:t xml:space="preserve">2. Causas estructurales del problema</w:t>
      </w:r>
    </w:p>
    <w:p>
      <w:pPr>
        <w:spacing w:after="160" w:line="276"/>
        <w:jc w:val="both"/>
      </w:pPr>
      <w:r>
        <w:rPr>
          <w:sz w:val="22"/>
          <w:szCs w:val="22"/>
        </w:rPr>
        <w:t xml:space="preserve">La inseguridad ciudadana en el Perú no obedece a un factor único, sino que constituye un fenómeno multidimensional y sistémico. Como señala el análisis del I Congreso Internacional ICAP (2025), no se trata únicamente de un déficit policial, sino de un problema complejo que involucra factores estructurales —como la desigualdad, el desempleo juvenil y la débil cultura de legalidad—, así como fallas institucionales vinculadas a la corrupción, la impunidad y la fragmentación del sistema de justicia (ICAP, 2025).</w:t>
      </w:r>
    </w:p>
    <w:p>
      <w:pPr>
        <w:pStyle w:val="Heading2"/>
      </w:pPr>
      <w:r>
        <w:t xml:space="preserve">2.1. Desigualdad social y pobreza</w:t>
      </w:r>
    </w:p>
    <w:p>
      <w:pPr>
        <w:spacing w:after="160" w:line="276"/>
        <w:jc w:val="both"/>
      </w:pPr>
      <w:r>
        <w:rPr>
          <w:sz w:val="22"/>
          <w:szCs w:val="22"/>
        </w:rPr>
        <w:t xml:space="preserve">La desigualdad social crea un entorno propenso al delito, en la medida en que las comunidades más vulnerables suelen carecer de acceso a oportunidades laborales y servicios básicos (CEPLAN, 2024a). Esta relación entre desigualdad y criminalidad ha sido documentada por el propio INEI en su investigación sobre desigualdad social y criminalidad, donde se identifica que la pobreza multidimensional y la cultura de violencia condicionan la ocurrencia de delitos contra la seguridad ciudadana (Jurado, 2021).</w:t>
      </w:r>
    </w:p>
    <w:p>
      <w:pPr>
        <w:pStyle w:val="Heading2"/>
      </w:pPr>
      <w:r>
        <w:t xml:space="preserve">2.2. Desempleo juvenil</w:t>
      </w:r>
    </w:p>
    <w:p>
      <w:pPr>
        <w:spacing w:after="160" w:line="276"/>
        <w:jc w:val="both"/>
      </w:pPr>
      <w:r>
        <w:rPr>
          <w:sz w:val="22"/>
          <w:szCs w:val="22"/>
        </w:rPr>
        <w:t xml:space="preserve">El desempleo juvenil es uno de los factores estructurales más relevantes para esta hackathon, dado su enfoque en juventudes. La ausencia de oportunidades laborales y educativas para los jóvenes incrementa su exposición a dinámicas de violencia y delincuencia, perpetuando ciclos de inseguridad intergeneracional. La literatura especializada vincula directamente la falta de empleo juvenil con el comportamiento transgresor entre jóvenes (SENAJU, MINJUS y UPN, 2019).</w:t>
      </w:r>
    </w:p>
    <w:p>
      <w:pPr>
        <w:pStyle w:val="Heading2"/>
      </w:pPr>
      <w:r>
        <w:t xml:space="preserve">2.3. Debilidad institucional y desconfianza en la Policía</w:t>
      </w:r>
    </w:p>
    <w:p>
      <w:pPr>
        <w:spacing w:after="160" w:line="276"/>
        <w:jc w:val="both"/>
      </w:pPr>
      <w:r>
        <w:rPr>
          <w:sz w:val="22"/>
          <w:szCs w:val="22"/>
        </w:rPr>
        <w:t xml:space="preserve">La debilidad institucional agrava el problema. Según un estudio del INEI de 2023, la confianza ciudadana en la Policía Nacional del Perú es marcadamente baja: apenas el 20 % de los peruanos confía en la institución encargada de su seguridad (INEI, 2023, citado por Infobae, 2024). Esta desconfianza retroalimenta el subregistro de delitos: si la ciudadanía no confía en las instituciones, no denuncia, y sin denuncias el Estado no puede diseñar respuestas eficaces.</w:t>
      </w:r>
    </w:p>
    <w:p>
      <w:pPr>
        <w:pBdr>
          <w:top w:val="single" w:color="2563EB" w:sz="6" w:space="6"/>
          <w:left w:val="single" w:color="2563EB" w:sz="18" w:space="8"/>
          <w:bottom w:val="single" w:color="2563EB" w:sz="6" w:space="6"/>
          <w:right w:val="single" w:color="2563EB" w:sz="6" w:space="6"/>
        </w:pBdr>
        <w:shd w:fill="EFF4FF" w:val="clear"/>
        <w:spacing w:after="160" w:before="160"/>
      </w:pPr>
      <w:r>
        <w:rPr>
          <w:b/>
          <w:bCs/>
          <w:color w:val="2563EB"/>
          <w:sz w:val="20"/>
          <w:szCs w:val="20"/>
        </w:rPr>
        <w:t xml:space="preserve">📷 INSERTAR IMAGEN AQUÍ — </w:t>
      </w:r>
      <w:r>
        <w:rPr>
          <w:b/>
          <w:bCs/>
          <w:sz w:val="20"/>
          <w:szCs w:val="20"/>
        </w:rPr>
        <w:t xml:space="preserve">Causas estructurales de la inseguridad ciudadana</w:t>
      </w:r>
      <w:r>
        <w:br/>
        <w:t xml:space="preserve"/>
      </w:r>
      <w:r>
        <w:rPr>
          <w:i/>
          <w:iCs/>
          <w:color w:val="555555"/>
          <w:sz w:val="18"/>
          <w:szCs w:val="18"/>
        </w:rPr>
        <w:t xml:space="preserve">Opcional: captura el diagrama del problema principal de la Política Nacional de Seguridad Ciudadana al 2030, que ilustra las causas del fenómeno. Está en el documento de la PNMSC 2030 (MININTER).</w:t>
      </w:r>
      <w:r>
        <w:br/>
        <w:t xml:space="preserve"/>
      </w:r>
      <w:r>
        <w:rPr>
          <w:color w:val="555555"/>
          <w:sz w:val="18"/>
          <w:szCs w:val="18"/>
        </w:rPr>
        <w:t xml:space="preserve">Fuente para capturar: </w:t>
      </w:r>
      <w:hyperlink w:history="1" r:id="rIdaybdcijzpz5waealphgsc">
        <w:r>
          <w:rPr>
            <w:rStyle w:val="Hyperlink"/>
            <w:sz w:val="18"/>
            <w:szCs w:val="18"/>
          </w:rPr>
          <w:t xml:space="preserve">https://observatorio.mininter.gob.pe/sites/default/files/proyecto/archivos/DOCUMENTOS-Pol%C3%ADtica%20Nacional%20Multisectorial%20de%20Seguridad%20Ciudadana%202030.pdf</w:t>
        </w:r>
      </w:hyperlink>
      <w:r>
        <w:br/>
        <w:t xml:space="preserve"/>
        <w:br/>
        <w:t xml:space="preserve"/>
      </w:r>
      <w:r>
        <w:rPr>
          <w:b/>
          <w:bCs/>
          <w:color w:val="B45309"/>
          <w:sz w:val="18"/>
          <w:szCs w:val="18"/>
        </w:rPr>
        <w:t xml:space="preserve">Referencia para pegar debajo de la imagen:</w:t>
      </w:r>
      <w:r>
        <w:br/>
        <w:t xml:space="preserve"/>
      </w:r>
      <w:r>
        <w:rPr>
          <w:sz w:val="18"/>
          <w:szCs w:val="18"/>
        </w:rPr>
        <w:t xml:space="preserve">Figura 5. </w:t>
      </w:r>
      <w:r>
        <w:rPr>
          <w:i/>
          <w:iCs/>
          <w:sz w:val="18"/>
          <w:szCs w:val="18"/>
        </w:rPr>
        <w:t xml:space="preserve">Árbol de causas del problema público de inseguridad ciudadana. </w:t>
      </w:r>
      <w:r>
        <w:rPr>
          <w:sz w:val="18"/>
          <w:szCs w:val="18"/>
        </w:rPr>
        <w:t xml:space="preserve">Tomado de Política Nacional Multisectorial de Seguridad Ciudadana al 2030, por Ministerio del Interior [MININTER], 2022.</w:t>
      </w:r>
    </w:p>
    <w:p>
      <w:pPr>
        <w:pStyle w:val="Heading1"/>
      </w:pPr>
      <w:r>
        <w:t xml:space="preserve">3. Análisis por distrito de Lima Centro</w:t>
      </w:r>
    </w:p>
    <w:p>
      <w:pPr>
        <w:spacing w:after="160" w:line="276"/>
        <w:jc w:val="both"/>
      </w:pPr>
      <w:r>
        <w:rPr>
          <w:sz w:val="22"/>
          <w:szCs w:val="22"/>
        </w:rPr>
        <w:t xml:space="preserve">Lima Centro —que agrupa distritos como Cercado de Lima, La Victoria, Breña, Rímac, Lince, Jesús María, entre otros— concentra de forma persistente una porción significativa de la criminalidad metropolitana. Históricamente, los distritos de Cercado de Lima y La Victoria han reportado entre el 40 % y el 48 % del total de denuncias de Lima Centro (MININTER, s.f.).</w:t>
      </w:r>
    </w:p>
    <w:p>
      <w:pPr>
        <w:pStyle w:val="Heading2"/>
      </w:pPr>
      <w:r>
        <w:t xml:space="preserve">3.1. Concentración de denuncias (primer trimestre 2024)</w:t>
      </w:r>
    </w:p>
    <w:p>
      <w:pPr>
        <w:spacing w:after="160" w:line="276"/>
        <w:jc w:val="both"/>
      </w:pPr>
      <w:r>
        <w:rPr>
          <w:sz w:val="22"/>
          <w:szCs w:val="22"/>
        </w:rPr>
        <w:t xml:space="preserve">Según las Estadísticas de Criminalidad del INEI correspondientes al primer trimestre de 2024, el Cercado de Lima es el distrito con mayor número de denuncias de toda Lima Metropolitana después de San Juan de Lurigancho, con 4 264 casos; en Lima Metropolitana, San Juan de Lurigancho (4 403) y el Cercado de Lima (4 264) concentran el 19,9 % del total de denuncias (La República, 2024). La siguiente tabla resume la evolución de denuncias en los principales distritos de Lima Centro: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1%"/>
            <w:shd w:fill="1A3C6E" w:val="clear"/>
          </w:tcPr>
          <w:p>
            <w:pPr>
              <w:spacing w:after="0" w:line="240"/>
              <w:jc w:val="left"/>
            </w:pPr>
            <w:r>
              <w:rPr>
                <w:b/>
                <w:bCs/>
                <w:color w:val="FFFFFF"/>
                <w:sz w:val="19"/>
                <w:szCs w:val="19"/>
              </w:rPr>
              <w:t xml:space="preserve">Distrito</w:t>
            </w:r>
          </w:p>
        </w:tc>
        <w:tc>
          <w:tcPr>
            <w:tcW w:type="pct" w:w="23%"/>
            <w:shd w:fill="1A3C6E" w:val="clear"/>
          </w:tcPr>
          <w:p>
            <w:pPr>
              <w:spacing w:after="0" w:line="240"/>
              <w:jc w:val="center"/>
            </w:pPr>
            <w:r>
              <w:rPr>
                <w:b/>
                <w:bCs/>
                <w:color w:val="FFFFFF"/>
                <w:sz w:val="19"/>
                <w:szCs w:val="19"/>
              </w:rPr>
              <w:t xml:space="preserve">Denuncias 1T-2021</w:t>
            </w:r>
          </w:p>
        </w:tc>
        <w:tc>
          <w:tcPr>
            <w:tcW w:type="pct" w:w="23%"/>
            <w:shd w:fill="1A3C6E" w:val="clear"/>
          </w:tcPr>
          <w:p>
            <w:pPr>
              <w:spacing w:after="0" w:line="240"/>
              <w:jc w:val="center"/>
            </w:pPr>
            <w:r>
              <w:rPr>
                <w:b/>
                <w:bCs/>
                <w:color w:val="FFFFFF"/>
                <w:sz w:val="19"/>
                <w:szCs w:val="19"/>
              </w:rPr>
              <w:t xml:space="preserve">Denuncias 1T-2024</w:t>
            </w:r>
          </w:p>
        </w:tc>
        <w:tc>
          <w:tcPr>
            <w:tcW w:type="pct" w:w="23%"/>
            <w:shd w:fill="1A3C6E" w:val="clear"/>
          </w:tcPr>
          <w:p>
            <w:pPr>
              <w:spacing w:after="0" w:line="240"/>
              <w:jc w:val="center"/>
            </w:pPr>
            <w:r>
              <w:rPr>
                <w:b/>
                <w:bCs/>
                <w:color w:val="FFFFFF"/>
                <w:sz w:val="19"/>
                <w:szCs w:val="19"/>
              </w:rPr>
              <w:t xml:space="preserve">Variación</w:t>
            </w:r>
          </w:p>
        </w:tc>
      </w:tr>
      <w:tr>
        <w:tc>
          <w:tcPr>
            <w:tcW w:type="pct" w:w="31%"/>
          </w:tcPr>
          <w:p>
            <w:pPr>
              <w:spacing w:after="0" w:line="240"/>
              <w:jc w:val="left"/>
            </w:pPr>
            <w:r>
              <w:rPr>
                <w:b w:val="false"/>
                <w:bCs w:val="false"/>
                <w:color w:val="000000"/>
                <w:sz w:val="19"/>
                <w:szCs w:val="19"/>
              </w:rPr>
              <w:t xml:space="preserve">Cercado de Lima</w:t>
            </w:r>
          </w:p>
        </w:tc>
        <w:tc>
          <w:tcPr>
            <w:tcW w:type="pct" w:w="23%"/>
          </w:tcPr>
          <w:p>
            <w:pPr>
              <w:spacing w:after="0" w:line="240"/>
              <w:jc w:val="center"/>
            </w:pPr>
            <w:r>
              <w:rPr>
                <w:b w:val="false"/>
                <w:bCs w:val="false"/>
                <w:color w:val="000000"/>
                <w:sz w:val="19"/>
                <w:szCs w:val="19"/>
              </w:rPr>
              <w:t xml:space="preserve">2 356</w:t>
            </w:r>
          </w:p>
        </w:tc>
        <w:tc>
          <w:tcPr>
            <w:tcW w:type="pct" w:w="23%"/>
          </w:tcPr>
          <w:p>
            <w:pPr>
              <w:spacing w:after="0" w:line="240"/>
              <w:jc w:val="center"/>
            </w:pPr>
            <w:r>
              <w:rPr>
                <w:b w:val="false"/>
                <w:bCs w:val="false"/>
                <w:color w:val="000000"/>
                <w:sz w:val="19"/>
                <w:szCs w:val="19"/>
              </w:rPr>
              <w:t xml:space="preserve">4 264</w:t>
            </w:r>
          </w:p>
        </w:tc>
        <w:tc>
          <w:tcPr>
            <w:tcW w:type="pct" w:w="23%"/>
          </w:tcPr>
          <w:p>
            <w:pPr>
              <w:spacing w:after="0" w:line="240"/>
              <w:jc w:val="center"/>
            </w:pPr>
            <w:r>
              <w:rPr>
                <w:b/>
                <w:bCs/>
                <w:color w:val="000000"/>
                <w:sz w:val="19"/>
                <w:szCs w:val="19"/>
              </w:rPr>
              <w:t xml:space="preserve">+81 %</w:t>
            </w:r>
          </w:p>
        </w:tc>
      </w:tr>
      <w:tr>
        <w:tc>
          <w:tcPr>
            <w:tcW w:type="pct" w:w="31%"/>
          </w:tcPr>
          <w:p>
            <w:pPr>
              <w:spacing w:after="0" w:line="240"/>
              <w:jc w:val="left"/>
            </w:pPr>
            <w:r>
              <w:rPr>
                <w:b w:val="false"/>
                <w:bCs w:val="false"/>
                <w:color w:val="000000"/>
                <w:sz w:val="19"/>
                <w:szCs w:val="19"/>
              </w:rPr>
              <w:t xml:space="preserve">La Victoria</w:t>
            </w:r>
          </w:p>
        </w:tc>
        <w:tc>
          <w:tcPr>
            <w:tcW w:type="pct" w:w="23%"/>
          </w:tcPr>
          <w:p>
            <w:pPr>
              <w:spacing w:after="0" w:line="240"/>
              <w:jc w:val="center"/>
            </w:pPr>
            <w:r>
              <w:rPr>
                <w:b w:val="false"/>
                <w:bCs w:val="false"/>
                <w:color w:val="000000"/>
                <w:sz w:val="19"/>
                <w:szCs w:val="19"/>
              </w:rPr>
              <w:t xml:space="preserve">1 230</w:t>
            </w:r>
          </w:p>
        </w:tc>
        <w:tc>
          <w:tcPr>
            <w:tcW w:type="pct" w:w="23%"/>
          </w:tcPr>
          <w:p>
            <w:pPr>
              <w:spacing w:after="0" w:line="240"/>
              <w:jc w:val="center"/>
            </w:pPr>
            <w:r>
              <w:rPr>
                <w:b w:val="false"/>
                <w:bCs w:val="false"/>
                <w:color w:val="000000"/>
                <w:sz w:val="19"/>
                <w:szCs w:val="19"/>
              </w:rPr>
              <w:t xml:space="preserve">1 564</w:t>
            </w:r>
          </w:p>
        </w:tc>
        <w:tc>
          <w:tcPr>
            <w:tcW w:type="pct" w:w="23%"/>
          </w:tcPr>
          <w:p>
            <w:pPr>
              <w:spacing w:after="0" w:line="240"/>
              <w:jc w:val="center"/>
            </w:pPr>
            <w:r>
              <w:rPr>
                <w:b/>
                <w:bCs/>
                <w:color w:val="000000"/>
                <w:sz w:val="19"/>
                <w:szCs w:val="19"/>
              </w:rPr>
              <w:t xml:space="preserve">+27 %</w:t>
            </w:r>
          </w:p>
        </w:tc>
      </w:tr>
      <w:tr>
        <w:tc>
          <w:tcPr>
            <w:tcW w:type="pct" w:w="31%"/>
          </w:tcPr>
          <w:p>
            <w:pPr>
              <w:spacing w:after="0" w:line="240"/>
              <w:jc w:val="left"/>
            </w:pPr>
            <w:r>
              <w:rPr>
                <w:b w:val="false"/>
                <w:bCs w:val="false"/>
                <w:color w:val="000000"/>
                <w:sz w:val="19"/>
                <w:szCs w:val="19"/>
              </w:rPr>
              <w:t xml:space="preserve">Santiago de Surco</w:t>
            </w:r>
          </w:p>
        </w:tc>
        <w:tc>
          <w:tcPr>
            <w:tcW w:type="pct" w:w="23%"/>
          </w:tcPr>
          <w:p>
            <w:pPr>
              <w:spacing w:after="0" w:line="240"/>
              <w:jc w:val="center"/>
            </w:pPr>
            <w:r>
              <w:rPr>
                <w:b w:val="false"/>
                <w:bCs w:val="false"/>
                <w:color w:val="000000"/>
                <w:sz w:val="19"/>
                <w:szCs w:val="19"/>
              </w:rPr>
              <w:t xml:space="preserve">1 072</w:t>
            </w:r>
          </w:p>
        </w:tc>
        <w:tc>
          <w:tcPr>
            <w:tcW w:type="pct" w:w="23%"/>
          </w:tcPr>
          <w:p>
            <w:pPr>
              <w:spacing w:after="0" w:line="240"/>
              <w:jc w:val="center"/>
            </w:pPr>
            <w:r>
              <w:rPr>
                <w:b w:val="false"/>
                <w:bCs w:val="false"/>
                <w:color w:val="000000"/>
                <w:sz w:val="19"/>
                <w:szCs w:val="19"/>
              </w:rPr>
              <w:t xml:space="preserve">2 175</w:t>
            </w:r>
          </w:p>
        </w:tc>
        <w:tc>
          <w:tcPr>
            <w:tcW w:type="pct" w:w="23%"/>
          </w:tcPr>
          <w:p>
            <w:pPr>
              <w:spacing w:after="0" w:line="240"/>
              <w:jc w:val="center"/>
            </w:pPr>
            <w:r>
              <w:rPr>
                <w:b/>
                <w:bCs/>
                <w:color w:val="000000"/>
                <w:sz w:val="19"/>
                <w:szCs w:val="19"/>
              </w:rPr>
              <w:t xml:space="preserve">+103 %</w:t>
            </w:r>
          </w:p>
        </w:tc>
      </w:tr>
      <w:tr>
        <w:tc>
          <w:tcPr>
            <w:tcW w:type="pct" w:w="31%"/>
          </w:tcPr>
          <w:p>
            <w:pPr>
              <w:spacing w:after="0" w:line="240"/>
              <w:jc w:val="left"/>
            </w:pPr>
            <w:r>
              <w:rPr>
                <w:b w:val="false"/>
                <w:bCs w:val="false"/>
                <w:color w:val="000000"/>
                <w:sz w:val="19"/>
                <w:szCs w:val="19"/>
              </w:rPr>
              <w:t xml:space="preserve">Miraflores</w:t>
            </w:r>
          </w:p>
        </w:tc>
        <w:tc>
          <w:tcPr>
            <w:tcW w:type="pct" w:w="23%"/>
          </w:tcPr>
          <w:p>
            <w:pPr>
              <w:spacing w:after="0" w:line="240"/>
              <w:jc w:val="center"/>
            </w:pPr>
            <w:r>
              <w:rPr>
                <w:b w:val="false"/>
                <w:bCs w:val="false"/>
                <w:color w:val="000000"/>
                <w:sz w:val="19"/>
                <w:szCs w:val="19"/>
              </w:rPr>
              <w:t xml:space="preserve">490</w:t>
            </w:r>
          </w:p>
        </w:tc>
        <w:tc>
          <w:tcPr>
            <w:tcW w:type="pct" w:w="23%"/>
          </w:tcPr>
          <w:p>
            <w:pPr>
              <w:spacing w:after="0" w:line="240"/>
              <w:jc w:val="center"/>
            </w:pPr>
            <w:r>
              <w:rPr>
                <w:b w:val="false"/>
                <w:bCs w:val="false"/>
                <w:color w:val="000000"/>
                <w:sz w:val="19"/>
                <w:szCs w:val="19"/>
              </w:rPr>
              <w:t xml:space="preserve">2 066</w:t>
            </w:r>
          </w:p>
        </w:tc>
        <w:tc>
          <w:tcPr>
            <w:tcW w:type="pct" w:w="23%"/>
          </w:tcPr>
          <w:p>
            <w:pPr>
              <w:spacing w:after="0" w:line="240"/>
              <w:jc w:val="center"/>
            </w:pPr>
            <w:r>
              <w:rPr>
                <w:b/>
                <w:bCs/>
                <w:color w:val="000000"/>
                <w:sz w:val="19"/>
                <w:szCs w:val="19"/>
              </w:rPr>
              <w:t xml:space="preserve">+322 %</w:t>
            </w:r>
          </w:p>
        </w:tc>
      </w:tr>
      <w:tr>
        <w:tc>
          <w:tcPr>
            <w:tcW w:type="pct" w:w="31%"/>
          </w:tcPr>
          <w:p>
            <w:pPr>
              <w:spacing w:after="0" w:line="240"/>
              <w:jc w:val="left"/>
            </w:pPr>
            <w:r>
              <w:rPr>
                <w:b w:val="false"/>
                <w:bCs w:val="false"/>
                <w:color w:val="000000"/>
                <w:sz w:val="19"/>
                <w:szCs w:val="19"/>
              </w:rPr>
              <w:t xml:space="preserve">San Isidro</w:t>
            </w:r>
          </w:p>
        </w:tc>
        <w:tc>
          <w:tcPr>
            <w:tcW w:type="pct" w:w="23%"/>
          </w:tcPr>
          <w:p>
            <w:pPr>
              <w:spacing w:after="0" w:line="240"/>
              <w:jc w:val="center"/>
            </w:pPr>
            <w:r>
              <w:rPr>
                <w:b w:val="false"/>
                <w:bCs w:val="false"/>
                <w:color w:val="000000"/>
                <w:sz w:val="19"/>
                <w:szCs w:val="19"/>
              </w:rPr>
              <w:t xml:space="preserve">293</w:t>
            </w:r>
          </w:p>
        </w:tc>
        <w:tc>
          <w:tcPr>
            <w:tcW w:type="pct" w:w="23%"/>
          </w:tcPr>
          <w:p>
            <w:pPr>
              <w:spacing w:after="0" w:line="240"/>
              <w:jc w:val="center"/>
            </w:pPr>
            <w:r>
              <w:rPr>
                <w:b w:val="false"/>
                <w:bCs w:val="false"/>
                <w:color w:val="000000"/>
                <w:sz w:val="19"/>
                <w:szCs w:val="19"/>
              </w:rPr>
              <w:t xml:space="preserve">785</w:t>
            </w:r>
          </w:p>
        </w:tc>
        <w:tc>
          <w:tcPr>
            <w:tcW w:type="pct" w:w="23%"/>
          </w:tcPr>
          <w:p>
            <w:pPr>
              <w:spacing w:after="0" w:line="240"/>
              <w:jc w:val="center"/>
            </w:pPr>
            <w:r>
              <w:rPr>
                <w:b/>
                <w:bCs/>
                <w:color w:val="000000"/>
                <w:sz w:val="19"/>
                <w:szCs w:val="19"/>
              </w:rPr>
              <w:t xml:space="preserve">+168 %</w:t>
            </w:r>
          </w:p>
        </w:tc>
      </w:tr>
      <w:tr>
        <w:tc>
          <w:tcPr>
            <w:tcW w:type="pct" w:w="31%"/>
          </w:tcPr>
          <w:p>
            <w:pPr>
              <w:spacing w:after="0" w:line="240"/>
              <w:jc w:val="left"/>
            </w:pPr>
            <w:r>
              <w:rPr>
                <w:b w:val="false"/>
                <w:bCs w:val="false"/>
                <w:color w:val="000000"/>
                <w:sz w:val="19"/>
                <w:szCs w:val="19"/>
              </w:rPr>
              <w:t xml:space="preserve">Barranco</w:t>
            </w:r>
          </w:p>
        </w:tc>
        <w:tc>
          <w:tcPr>
            <w:tcW w:type="pct" w:w="23%"/>
          </w:tcPr>
          <w:p>
            <w:pPr>
              <w:spacing w:after="0" w:line="240"/>
              <w:jc w:val="center"/>
            </w:pPr>
            <w:r>
              <w:rPr>
                <w:b w:val="false"/>
                <w:bCs w:val="false"/>
                <w:color w:val="000000"/>
                <w:sz w:val="19"/>
                <w:szCs w:val="19"/>
              </w:rPr>
              <w:t xml:space="preserve">92</w:t>
            </w:r>
          </w:p>
        </w:tc>
        <w:tc>
          <w:tcPr>
            <w:tcW w:type="pct" w:w="23%"/>
          </w:tcPr>
          <w:p>
            <w:pPr>
              <w:spacing w:after="0" w:line="240"/>
              <w:jc w:val="center"/>
            </w:pPr>
            <w:r>
              <w:rPr>
                <w:b w:val="false"/>
                <w:bCs w:val="false"/>
                <w:color w:val="000000"/>
                <w:sz w:val="19"/>
                <w:szCs w:val="19"/>
              </w:rPr>
              <w:t xml:space="preserve">426</w:t>
            </w:r>
          </w:p>
        </w:tc>
        <w:tc>
          <w:tcPr>
            <w:tcW w:type="pct" w:w="23%"/>
          </w:tcPr>
          <w:p>
            <w:pPr>
              <w:spacing w:after="0" w:line="240"/>
              <w:jc w:val="center"/>
            </w:pPr>
            <w:r>
              <w:rPr>
                <w:b/>
                <w:bCs/>
                <w:color w:val="000000"/>
                <w:sz w:val="19"/>
                <w:szCs w:val="19"/>
              </w:rPr>
              <w:t xml:space="preserve">+363 %</w:t>
            </w:r>
          </w:p>
        </w:tc>
      </w:tr>
    </w:tbl>
    <w:p>
      <w:pPr>
        <w:spacing w:after="160" w:before="80"/>
      </w:pPr>
      <w:r>
        <w:rPr>
          <w:i/>
          <w:iCs/>
          <w:color w:val="555555"/>
          <w:sz w:val="18"/>
          <w:szCs w:val="18"/>
        </w:rPr>
        <w:t xml:space="preserve">Nota. Datos del INEI (Estadísticas de Criminalidad, ene-mar 2024), citados por El Comercio (2024) y La República (2024). Ver detalle en el archivo Excel adjunto: Datos_Lima_Centro.xlsx.</w:t>
      </w:r>
    </w:p>
    <w:p>
      <w:pPr>
        <w:spacing w:after="160" w:line="276"/>
        <w:jc w:val="both"/>
      </w:pPr>
      <w:r>
        <w:rPr>
          <w:sz w:val="22"/>
          <w:szCs w:val="22"/>
        </w:rPr>
        <w:t xml:space="preserve">El dato más revelador no es solo el volumen absoluto, sino el crecimiento acelerado: Lima Centro experimentó un aumento del 102 % en denuncias durante el primer trimestre de 2024 respecto a 2021, con distritos como Barranco (+363 %), Miraflores (+322 %) y San Isidro (+168 %) liderando el incremento (El Comercio, 2024). Esto evidencia que la inseguridad ya no se limita a los distritos tradicionalmente más afectados, sino que se expande hacia toda la zona central.</w:t>
      </w:r>
    </w:p>
    <w:p>
      <w:pPr>
        <w:pBdr>
          <w:top w:val="single" w:color="2563EB" w:sz="6" w:space="6"/>
          <w:left w:val="single" w:color="2563EB" w:sz="18" w:space="8"/>
          <w:bottom w:val="single" w:color="2563EB" w:sz="6" w:space="6"/>
          <w:right w:val="single" w:color="2563EB" w:sz="6" w:space="6"/>
        </w:pBdr>
        <w:shd w:fill="EFF4FF" w:val="clear"/>
        <w:spacing w:after="160" w:before="160"/>
      </w:pPr>
      <w:r>
        <w:rPr>
          <w:b/>
          <w:bCs/>
          <w:color w:val="2563EB"/>
          <w:sz w:val="20"/>
          <w:szCs w:val="20"/>
        </w:rPr>
        <w:t xml:space="preserve">📷 INSERTAR IMAGEN AQUÍ — </w:t>
      </w:r>
      <w:r>
        <w:rPr>
          <w:b/>
          <w:bCs/>
          <w:sz w:val="20"/>
          <w:szCs w:val="20"/>
        </w:rPr>
        <w:t xml:space="preserve">Denuncias por distrito en Lima Centro / Lima Metropolitana (2024)</w:t>
      </w:r>
      <w:r>
        <w:br/>
        <w:t xml:space="preserve"/>
      </w:r>
      <w:r>
        <w:rPr>
          <w:i/>
          <w:iCs/>
          <w:color w:val="555555"/>
          <w:sz w:val="18"/>
          <w:szCs w:val="18"/>
        </w:rPr>
        <w:t xml:space="preserve">Captura el gráfico o ranking de distritos con más denuncias (donde Cercado de Lima aparece 2.º con 4 264). Está en el informe de Estadísticas de Criminalidad ene-mar 2024 del INEI, o en la nota de El Comercio.</w:t>
      </w:r>
      <w:r>
        <w:br/>
        <w:t xml:space="preserve"/>
      </w:r>
      <w:r>
        <w:rPr>
          <w:color w:val="555555"/>
          <w:sz w:val="18"/>
          <w:szCs w:val="18"/>
        </w:rPr>
        <w:t xml:space="preserve">Fuente para capturar: </w:t>
      </w:r>
      <w:hyperlink w:history="1" r:id="rId-qpe3k3j1u7blpunnhth3">
        <w:r>
          <w:rPr>
            <w:rStyle w:val="Hyperlink"/>
            <w:sz w:val="18"/>
            <w:szCs w:val="18"/>
          </w:rPr>
          <w:t xml:space="preserve">https://www.inei.gob.pe/media/MenuRecursivo/boletines/estadisticas-de-seguridad-ciudadana-enero-junio-2024.pdf</w:t>
        </w:r>
      </w:hyperlink>
      <w:r>
        <w:br/>
        <w:t xml:space="preserve"/>
        <w:br/>
        <w:t xml:space="preserve"/>
      </w:r>
      <w:r>
        <w:rPr>
          <w:b/>
          <w:bCs/>
          <w:color w:val="B45309"/>
          <w:sz w:val="18"/>
          <w:szCs w:val="18"/>
        </w:rPr>
        <w:t xml:space="preserve">Referencia para pegar debajo de la imagen:</w:t>
      </w:r>
      <w:r>
        <w:br/>
        <w:t xml:space="preserve"/>
      </w:r>
      <w:r>
        <w:rPr>
          <w:sz w:val="18"/>
          <w:szCs w:val="18"/>
        </w:rPr>
        <w:t xml:space="preserve">Figura 6. </w:t>
      </w:r>
      <w:r>
        <w:rPr>
          <w:i/>
          <w:iCs/>
          <w:sz w:val="18"/>
          <w:szCs w:val="18"/>
        </w:rPr>
        <w:t xml:space="preserve">Distritos de Lima Metropolitana con mayor número de denuncias, primer trimestre 2024. </w:t>
      </w:r>
      <w:r>
        <w:rPr>
          <w:sz w:val="18"/>
          <w:szCs w:val="18"/>
        </w:rPr>
        <w:t xml:space="preserve">Tomado de Estadísticas de la Criminalidad, Seguridad Ciudadana y Violencia, por Instituto Nacional de Estadística e Informática [INEI], 2024.</w:t>
      </w:r>
    </w:p>
    <w:p>
      <w:pPr>
        <w:pStyle w:val="Heading2"/>
      </w:pPr>
      <w:r>
        <w:t xml:space="preserve">3.2. Tipo de delito predominante: contra el patrimonio</w:t>
      </w:r>
    </w:p>
    <w:p>
      <w:pPr>
        <w:spacing w:after="160" w:line="276"/>
        <w:jc w:val="both"/>
      </w:pPr>
      <w:r>
        <w:rPr>
          <w:sz w:val="22"/>
          <w:szCs w:val="22"/>
        </w:rPr>
        <w:t xml:space="preserve">La composición delictiva de Lima Centro confirma la pertinencia de PreVe. El 83,2 % de los delitos denunciados en Lima Centro corresponde a delitos contra el patrimonio —hurto, robo, fraude, entre otros— (El Comercio, 2024). Este dato es central: nuestra propuesta ataca precisamente el tipo de delito más frecuente en la zona, lo que maximiza su relevancia y potencial de impacto.</w:t>
      </w:r>
    </w:p>
    <w:p>
      <w:pPr>
        <w:pStyle w:val="Heading2"/>
      </w:pPr>
      <w:r>
        <w:t xml:space="preserve">3.3. Brechas en la capacidad de respuesta (Serenazgo)</w:t>
      </w:r>
    </w:p>
    <w:p>
      <w:pPr>
        <w:spacing w:after="160" w:line="276"/>
        <w:jc w:val="both"/>
      </w:pPr>
      <w:r>
        <w:rPr>
          <w:sz w:val="22"/>
          <w:szCs w:val="22"/>
        </w:rPr>
        <w:t xml:space="preserve">El análisis de capacidades institucionales revela desigualdades dentro de Lima Centro. Según el Observatorio Nacional de Seguridad Ciudadana del MININTER, la cobertura poblacional del Serenazgo —es decir, el número de personas atendidas por cada efectivo— es especialmente deficitaria en los distritos del Rímac (1 efectivo por cada 2 249 habitantes) y Breña (1 por cada 1 544 habitantes), lo que limita la capacidad de prevención y respuesta en estas zonas (MININTER, s.f.). Esta brecha refuerza la necesidad de soluciones tecnológicas complementarias y de bajo costo como PreVe.</w:t>
      </w:r>
    </w:p>
    <w:p>
      <w:pPr>
        <w:pStyle w:val="Heading1"/>
      </w:pPr>
      <w:r>
        <w:t xml:space="preserve">4. Marco legal y políticas públicas actuales</w:t>
      </w:r>
    </w:p>
    <w:p>
      <w:pPr>
        <w:spacing w:after="160" w:line="276"/>
        <w:jc w:val="both"/>
      </w:pPr>
      <w:r>
        <w:rPr>
          <w:sz w:val="22"/>
          <w:szCs w:val="22"/>
        </w:rPr>
        <w:t xml:space="preserve">La intervención de PreVe se inserta en un marco normativo robusto que no solo legitima la propuesta, sino que explícitamente promueve la participación ciudadana y el uso de tecnología e información para la seguridad.</w:t>
      </w:r>
    </w:p>
    <w:p>
      <w:pPr>
        <w:pStyle w:val="Heading2"/>
      </w:pPr>
      <w:r>
        <w:t xml:space="preserve">4.1. Ley N.º 27933 — Sistema Nacional de Seguridad Ciudadana (SINASEC)</w:t>
      </w:r>
    </w:p>
    <w:p>
      <w:pPr>
        <w:spacing w:after="160" w:line="276"/>
        <w:jc w:val="both"/>
      </w:pPr>
      <w:r>
        <w:rPr>
          <w:sz w:val="22"/>
          <w:szCs w:val="22"/>
        </w:rPr>
        <w:t xml:space="preserve">La Ley N.º 27933 crea el Sistema Nacional de Seguridad Ciudadana (SINASEC), que define la seguridad ciudadana como una acción multisectorial e integrada del Estado con participación del sector privado, la sociedad civil organizada y la ciudadanía (Congreso de la República, 2003). De manera especialmente relevante para PreVe, la ley establece entre sus funciones «motivar a la comunidad para que apoye activamente el esfuerzo multisectorial por mejorar la seguridad» y «coordinar lineamientos para garantizar la estandarización e interoperabilidad de los sistemas de videovigilancia» (Ley N.º 27933, art. 6). Nuestra plataforma se alinea directamente con ambos mandatos.</w:t>
      </w:r>
    </w:p>
    <w:p>
      <w:pPr>
        <w:pStyle w:val="Heading2"/>
      </w:pPr>
      <w:r>
        <w:t xml:space="preserve">4.2. Política Nacional Multisectorial de Seguridad Ciudadana al 2030</w:t>
      </w:r>
    </w:p>
    <w:p>
      <w:pPr>
        <w:spacing w:after="160" w:line="276"/>
        <w:jc w:val="both"/>
      </w:pPr>
      <w:r>
        <w:rPr>
          <w:sz w:val="22"/>
          <w:szCs w:val="22"/>
        </w:rPr>
        <w:t xml:space="preserve">Aprobada mediante Decreto Supremo N.º 006-2022-IN, esta política es el instrumento que orienta a largo plazo el accionar del Estado en seguridad ciudadana, y es de cumplimiento obligatorio para los sectores público y privado y la sociedad civil (MININTER, 2022). Su meta central es reducir la victimización del 26,6 % (registrado en 2019) al 17 % hacia 2030 (Infobae, 2022). PreVe contribuye directamente a esta meta nacional al atacar el subregistro y fortalecer la prevención comunitaria.</w:t>
      </w:r>
    </w:p>
    <w:p>
      <w:pPr>
        <w:pStyle w:val="Heading2"/>
      </w:pPr>
      <w:r>
        <w:t xml:space="preserve">4.3. Estado de emergencia y Plan Perú Seguro</w:t>
      </w:r>
    </w:p>
    <w:p>
      <w:pPr>
        <w:spacing w:after="160" w:line="276"/>
        <w:jc w:val="both"/>
      </w:pPr>
      <w:r>
        <w:rPr>
          <w:sz w:val="22"/>
          <w:szCs w:val="22"/>
        </w:rPr>
        <w:t xml:space="preserve">El contexto reciente refleja la gravedad del problema y la búsqueda activa de soluciones por parte del Estado: se han decretado sucesivas prórrogas del estado de emergencia en distritos de Lima Metropolitana, y mediante R.M. N.º 0007-2024-IN se aprobó el Plan Perú Seguro (MININTER, 2024). Sin embargo, estas medidas —centradas en el despliegue policial y militar— no resuelven la causa de fondo: la falta de datos oportunos e interoperables y la débil participación ciudadana en el reporte. PreVe aborda precisamente ese vacío.</w:t>
      </w:r>
    </w:p>
    <w:p>
      <w:pPr>
        <w:pStyle w:val="Heading2"/>
      </w:pPr>
      <w:r>
        <w:t xml:space="preserve">4.4. La brecha de datos: un problema reconocido oficialmente</w:t>
      </w:r>
    </w:p>
    <w:p>
      <w:pPr>
        <w:spacing w:after="160" w:line="276"/>
        <w:jc w:val="both"/>
      </w:pPr>
      <w:r>
        <w:rPr>
          <w:sz w:val="22"/>
          <w:szCs w:val="22"/>
        </w:rPr>
        <w:t xml:space="preserve">El propio CEPLAN reconoce que la persistencia de la inseguridad se atribuye en parte a la falta de datos actualizados e interoperables provenientes de las instituciones del sistema de seguridad (CEPLAN, 2024b). Esto valida el núcleo de nuestra propuesta: PreVe no compite con el Estado, sino que genera la capa de datos ciudadanos en tiempo real que hoy falta, contribuyendo a la interoperabilidad que la propia Ley N.º 27933 exige.</w:t>
      </w:r>
    </w:p>
    <w:p>
      <w:pPr>
        <w:pStyle w:val="Heading1"/>
      </w:pPr>
      <w:r>
        <w:t xml:space="preserve">5. Análisis predictivo: evolución y proyección del problema</w:t>
      </w:r>
    </w:p>
    <w:p>
      <w:pPr>
        <w:spacing w:after="160" w:line="276"/>
        <w:jc w:val="both"/>
      </w:pPr>
      <w:r>
        <w:rPr>
          <w:sz w:val="22"/>
          <w:szCs w:val="22"/>
        </w:rPr>
        <w:t xml:space="preserve">Para dimensionar la urgencia de la intervención, se analizó la evolución de la victimización entre 2021 y 2026 integrando los datos más recientes del INEI. La victimización urbana nacional pasó de 18,2 % en 2021 a 27,1 % en 2024, una tendencia ascendente sostenida (CEPLAN, 2025). Los reportes semestrales más recientes muestran una leve reducción: en el </w:t>
      </w:r>
      <w:r>
        <w:rPr>
          <w:b/>
          <w:bCs/>
          <w:sz w:val="22"/>
          <w:szCs w:val="22"/>
        </w:rPr>
        <w:t xml:space="preserve">semestre móvil setiembre 2025 – febrero 2026</w:t>
      </w:r>
      <w:r>
        <w:rPr>
          <w:sz w:val="22"/>
          <w:szCs w:val="22"/>
        </w:rPr>
        <w:t xml:space="preserve">, 11 de cada 100 habitantes de Lima Metropolitana y Callao fueron víctimas de algún hecho delictivo, la cifra más alta del país (INEI, 2026). Más relevante aún para PreVe: </w:t>
      </w:r>
      <w:r>
        <w:rPr>
          <w:b/>
          <w:bCs/>
          <w:sz w:val="22"/>
          <w:szCs w:val="22"/>
        </w:rPr>
        <w:t xml:space="preserve">18 de cada 100 personas en Lima Metropolitana</w:t>
      </w:r>
      <w:r>
        <w:rPr>
          <w:sz w:val="22"/>
          <w:szCs w:val="22"/>
        </w:rPr>
        <w:t xml:space="preserve"> fueron víctimas específicamente de robo o intento de robo de dinero, cartera o celular — exactamente el tipo de delito que nuestra plataforma busca prevenir.</w:t>
      </w:r>
    </w:p>
    <w:p>
      <w:pPr>
        <w:spacing w:after="160" w:line="276"/>
        <w:jc w:val="both"/>
      </w:pPr>
      <w:r>
        <w:rPr>
          <w:sz w:val="22"/>
          <w:szCs w:val="22"/>
        </w:rPr>
        <w:t xml:space="preserve">A esto se suma un fenómeno emergente que las cifras tradicionales subestiman: según el Observatorio del Crimen y la Violencia (Credicorp, 2025), </w:t>
      </w:r>
      <w:r>
        <w:rPr>
          <w:b/>
          <w:bCs/>
          <w:sz w:val="22"/>
          <w:szCs w:val="22"/>
        </w:rPr>
        <w:t xml:space="preserve">el 21 % de la población ha sido víctima o conoce a una víctima de extorsión en los últimos tres meses</w:t>
      </w:r>
      <w:r>
        <w:rPr>
          <w:sz w:val="22"/>
          <w:szCs w:val="22"/>
        </w:rPr>
        <w:t xml:space="preserve">. Esta transformación reciente del crimen evidencia que la inseguridad no solo se mantiene en niveles altos, sino que cambia en naturaleza, alejándose del modelo tradicional centrado en la delincuencia patrimonial común (IEP, 2025).</w:t>
      </w:r>
    </w:p>
    <w:tbl>
      <w:tblPr>
        <w:tblW w:type="pct" w:w="85%"/>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shd w:fill="1A3C6E" w:val="clear"/>
          </w:tcPr>
          <w:p>
            <w:pPr>
              <w:spacing w:after="0" w:line="240"/>
              <w:jc w:val="center"/>
            </w:pPr>
            <w:r>
              <w:rPr>
                <w:b/>
                <w:bCs/>
                <w:color w:val="FFFFFF"/>
                <w:sz w:val="19"/>
                <w:szCs w:val="19"/>
              </w:rPr>
              <w:t xml:space="preserve">Período</w:t>
            </w:r>
          </w:p>
        </w:tc>
        <w:tc>
          <w:tcPr>
            <w:tcW w:type="pct" w:w="35%"/>
            <w:shd w:fill="1A3C6E" w:val="clear"/>
          </w:tcPr>
          <w:p>
            <w:pPr>
              <w:spacing w:after="0" w:line="240"/>
              <w:jc w:val="center"/>
            </w:pPr>
            <w:r>
              <w:rPr>
                <w:b/>
                <w:bCs/>
                <w:color w:val="FFFFFF"/>
                <w:sz w:val="19"/>
                <w:szCs w:val="19"/>
              </w:rPr>
              <w:t xml:space="preserve">Indicador</w:t>
            </w:r>
          </w:p>
        </w:tc>
        <w:tc>
          <w:tcPr>
            <w:tcW w:type="pct" w:w="20%"/>
            <w:shd w:fill="1A3C6E" w:val="clear"/>
          </w:tcPr>
          <w:p>
            <w:pPr>
              <w:spacing w:after="0" w:line="240"/>
              <w:jc w:val="center"/>
            </w:pPr>
            <w:r>
              <w:rPr>
                <w:b/>
                <w:bCs/>
                <w:color w:val="FFFFFF"/>
                <w:sz w:val="19"/>
                <w:szCs w:val="19"/>
              </w:rPr>
              <w:t xml:space="preserve">Tipo</w:t>
            </w:r>
          </w:p>
        </w:tc>
      </w:tr>
      <w:tr>
        <w:tc>
          <w:tcPr>
            <w:tcW w:type="pct" w:w="45%"/>
          </w:tcPr>
          <w:p>
            <w:pPr>
              <w:spacing w:after="0" w:line="240"/>
              <w:jc w:val="left"/>
            </w:pPr>
            <w:r>
              <w:rPr>
                <w:b w:val="false"/>
                <w:bCs w:val="false"/>
                <w:color w:val="000000"/>
                <w:sz w:val="19"/>
                <w:szCs w:val="19"/>
              </w:rPr>
              <w:t xml:space="preserve">2021 (anual nacional urbano)</w:t>
            </w:r>
          </w:p>
        </w:tc>
        <w:tc>
          <w:tcPr>
            <w:tcW w:type="pct" w:w="35%"/>
          </w:tcPr>
          <w:p>
            <w:pPr>
              <w:spacing w:after="0" w:line="240"/>
              <w:jc w:val="center"/>
            </w:pPr>
            <w:r>
              <w:rPr>
                <w:b w:val="false"/>
                <w:bCs w:val="false"/>
                <w:color w:val="000000"/>
                <w:sz w:val="19"/>
                <w:szCs w:val="19"/>
              </w:rPr>
              <w:t xml:space="preserve">18,2 %</w:t>
            </w:r>
          </w:p>
        </w:tc>
        <w:tc>
          <w:tcPr>
            <w:tcW w:type="pct" w:w="20%"/>
          </w:tcPr>
          <w:p>
            <w:pPr>
              <w:spacing w:after="0" w:line="240"/>
              <w:jc w:val="center"/>
            </w:pPr>
            <w:r>
              <w:rPr>
                <w:b w:val="false"/>
                <w:bCs w:val="false"/>
                <w:color w:val="000000"/>
                <w:sz w:val="19"/>
                <w:szCs w:val="19"/>
              </w:rPr>
              <w:t xml:space="preserve">real</w:t>
            </w:r>
          </w:p>
        </w:tc>
      </w:tr>
      <w:tr>
        <w:tc>
          <w:tcPr>
            <w:tcW w:type="pct" w:w="45%"/>
          </w:tcPr>
          <w:p>
            <w:pPr>
              <w:spacing w:after="0" w:line="240"/>
              <w:jc w:val="left"/>
            </w:pPr>
            <w:r>
              <w:rPr>
                <w:b w:val="false"/>
                <w:bCs w:val="false"/>
                <w:color w:val="000000"/>
                <w:sz w:val="19"/>
                <w:szCs w:val="19"/>
              </w:rPr>
              <w:t xml:space="preserve">2024 (anual nacional urbano)</w:t>
            </w:r>
          </w:p>
        </w:tc>
        <w:tc>
          <w:tcPr>
            <w:tcW w:type="pct" w:w="35%"/>
          </w:tcPr>
          <w:p>
            <w:pPr>
              <w:spacing w:after="0" w:line="240"/>
              <w:jc w:val="center"/>
            </w:pPr>
            <w:r>
              <w:rPr>
                <w:b w:val="false"/>
                <w:bCs w:val="false"/>
                <w:color w:val="000000"/>
                <w:sz w:val="19"/>
                <w:szCs w:val="19"/>
              </w:rPr>
              <w:t xml:space="preserve">27,1 %</w:t>
            </w:r>
          </w:p>
        </w:tc>
        <w:tc>
          <w:tcPr>
            <w:tcW w:type="pct" w:w="20%"/>
          </w:tcPr>
          <w:p>
            <w:pPr>
              <w:spacing w:after="0" w:line="240"/>
              <w:jc w:val="center"/>
            </w:pPr>
            <w:r>
              <w:rPr>
                <w:b w:val="false"/>
                <w:bCs w:val="false"/>
                <w:color w:val="000000"/>
                <w:sz w:val="19"/>
                <w:szCs w:val="19"/>
              </w:rPr>
              <w:t xml:space="preserve">real</w:t>
            </w:r>
          </w:p>
        </w:tc>
      </w:tr>
      <w:tr>
        <w:tc>
          <w:tcPr>
            <w:tcW w:type="pct" w:w="45%"/>
          </w:tcPr>
          <w:p>
            <w:pPr>
              <w:spacing w:after="0" w:line="240"/>
              <w:jc w:val="left"/>
            </w:pPr>
            <w:r>
              <w:rPr>
                <w:b w:val="false"/>
                <w:bCs w:val="false"/>
                <w:color w:val="000000"/>
                <w:sz w:val="19"/>
                <w:szCs w:val="19"/>
              </w:rPr>
              <w:t xml:space="preserve">Sept 2024 – Feb 2025 (semestre Lima Metropolitana)</w:t>
            </w:r>
          </w:p>
        </w:tc>
        <w:tc>
          <w:tcPr>
            <w:tcW w:type="pct" w:w="35%"/>
          </w:tcPr>
          <w:p>
            <w:pPr>
              <w:spacing w:after="0" w:line="240"/>
              <w:jc w:val="center"/>
            </w:pPr>
            <w:r>
              <w:rPr>
                <w:b w:val="false"/>
                <w:bCs w:val="false"/>
                <w:color w:val="000000"/>
                <w:sz w:val="19"/>
                <w:szCs w:val="19"/>
              </w:rPr>
              <w:t xml:space="preserve">12 por cada 100 hab.</w:t>
            </w:r>
          </w:p>
        </w:tc>
        <w:tc>
          <w:tcPr>
            <w:tcW w:type="pct" w:w="20%"/>
          </w:tcPr>
          <w:p>
            <w:pPr>
              <w:spacing w:after="0" w:line="240"/>
              <w:jc w:val="center"/>
            </w:pPr>
            <w:r>
              <w:rPr>
                <w:b w:val="false"/>
                <w:bCs w:val="false"/>
                <w:color w:val="000000"/>
                <w:sz w:val="19"/>
                <w:szCs w:val="19"/>
              </w:rPr>
              <w:t xml:space="preserve">real</w:t>
            </w:r>
          </w:p>
        </w:tc>
      </w:tr>
      <w:tr>
        <w:tc>
          <w:tcPr>
            <w:tcW w:type="pct" w:w="45%"/>
          </w:tcPr>
          <w:p>
            <w:pPr>
              <w:spacing w:after="0" w:line="240"/>
              <w:jc w:val="left"/>
            </w:pPr>
            <w:r>
              <w:rPr>
                <w:b/>
                <w:bCs/>
                <w:color w:val="000000"/>
                <w:sz w:val="19"/>
                <w:szCs w:val="19"/>
              </w:rPr>
              <w:t xml:space="preserve">Sept 2025 – Feb 2026 (semestre Lima Metropolitana)</w:t>
            </w:r>
          </w:p>
        </w:tc>
        <w:tc>
          <w:tcPr>
            <w:tcW w:type="pct" w:w="35%"/>
          </w:tcPr>
          <w:p>
            <w:pPr>
              <w:spacing w:after="0" w:line="240"/>
              <w:jc w:val="center"/>
            </w:pPr>
            <w:r>
              <w:rPr>
                <w:b/>
                <w:bCs/>
                <w:color w:val="000000"/>
                <w:sz w:val="19"/>
                <w:szCs w:val="19"/>
              </w:rPr>
              <w:t xml:space="preserve">11 por cada 100 hab.</w:t>
            </w:r>
          </w:p>
        </w:tc>
        <w:tc>
          <w:tcPr>
            <w:tcW w:type="pct" w:w="20%"/>
            <w:shd w:fill="DCFCE7" w:val="clear"/>
          </w:tcPr>
          <w:p>
            <w:pPr>
              <w:spacing w:after="0" w:line="240"/>
              <w:jc w:val="center"/>
            </w:pPr>
            <w:r>
              <w:rPr>
                <w:b w:val="false"/>
                <w:bCs w:val="false"/>
                <w:color w:val="000000"/>
                <w:sz w:val="19"/>
                <w:szCs w:val="19"/>
              </w:rPr>
              <w:t xml:space="preserve">real</w:t>
            </w:r>
          </w:p>
        </w:tc>
      </w:tr>
      <w:tr>
        <w:tc>
          <w:tcPr>
            <w:tcW w:type="pct" w:w="45%"/>
          </w:tcPr>
          <w:p>
            <w:pPr>
              <w:spacing w:after="0" w:line="240"/>
              <w:jc w:val="left"/>
            </w:pPr>
            <w:r>
              <w:rPr>
                <w:b/>
                <w:bCs/>
                <w:color w:val="000000"/>
                <w:sz w:val="19"/>
                <w:szCs w:val="19"/>
              </w:rPr>
              <w:t xml:space="preserve">Sept 2025 – Feb 2026 (robo en Lima Metropolitana)</w:t>
            </w:r>
          </w:p>
        </w:tc>
        <w:tc>
          <w:tcPr>
            <w:tcW w:type="pct" w:w="35%"/>
          </w:tcPr>
          <w:p>
            <w:pPr>
              <w:spacing w:after="0" w:line="240"/>
              <w:jc w:val="center"/>
            </w:pPr>
            <w:r>
              <w:rPr>
                <w:b/>
                <w:bCs/>
                <w:color w:val="000000"/>
                <w:sz w:val="19"/>
                <w:szCs w:val="19"/>
              </w:rPr>
              <w:t xml:space="preserve">18 por cada 100 hab.</w:t>
            </w:r>
          </w:p>
        </w:tc>
        <w:tc>
          <w:tcPr>
            <w:tcW w:type="pct" w:w="20%"/>
            <w:shd w:fill="DCFCE7" w:val="clear"/>
          </w:tcPr>
          <w:p>
            <w:pPr>
              <w:spacing w:after="0" w:line="240"/>
              <w:jc w:val="center"/>
            </w:pPr>
            <w:r>
              <w:rPr>
                <w:b w:val="false"/>
                <w:bCs w:val="false"/>
                <w:color w:val="000000"/>
                <w:sz w:val="19"/>
                <w:szCs w:val="19"/>
              </w:rPr>
              <w:t xml:space="preserve">real</w:t>
            </w:r>
          </w:p>
        </w:tc>
      </w:tr>
      <w:tr>
        <w:tc>
          <w:tcPr>
            <w:tcW w:type="pct" w:w="45%"/>
          </w:tcPr>
          <w:p>
            <w:pPr>
              <w:spacing w:after="0" w:line="240"/>
              <w:jc w:val="left"/>
            </w:pPr>
            <w:r>
              <w:rPr>
                <w:b w:val="false"/>
                <w:bCs w:val="false"/>
                <w:color w:val="000000"/>
                <w:sz w:val="19"/>
                <w:szCs w:val="19"/>
              </w:rPr>
              <w:t xml:space="preserve">Meta PNMSC 2030 (nacional urbano)</w:t>
            </w:r>
          </w:p>
        </w:tc>
        <w:tc>
          <w:tcPr>
            <w:tcW w:type="pct" w:w="35%"/>
          </w:tcPr>
          <w:p>
            <w:pPr>
              <w:spacing w:after="0" w:line="240"/>
              <w:jc w:val="center"/>
            </w:pPr>
            <w:r>
              <w:rPr>
                <w:b w:val="false"/>
                <w:bCs w:val="false"/>
                <w:color w:val="000000"/>
                <w:sz w:val="19"/>
                <w:szCs w:val="19"/>
              </w:rPr>
              <w:t xml:space="preserve">17 %</w:t>
            </w:r>
          </w:p>
        </w:tc>
        <w:tc>
          <w:tcPr>
            <w:tcW w:type="pct" w:w="20%"/>
          </w:tcPr>
          <w:p>
            <w:pPr>
              <w:spacing w:after="0" w:line="240"/>
              <w:jc w:val="center"/>
            </w:pPr>
            <w:r>
              <w:rPr>
                <w:b w:val="false"/>
                <w:bCs w:val="false"/>
                <w:color w:val="000000"/>
                <w:sz w:val="19"/>
                <w:szCs w:val="19"/>
              </w:rPr>
              <w:t xml:space="preserve">meta</w:t>
            </w:r>
          </w:p>
        </w:tc>
      </w:tr>
    </w:tbl>
    <w:p>
      <w:pPr>
        <w:spacing w:after="160" w:before="80"/>
      </w:pPr>
      <w:r>
        <w:rPr>
          <w:i/>
          <w:iCs/>
          <w:color w:val="555555"/>
          <w:sz w:val="18"/>
          <w:szCs w:val="18"/>
        </w:rPr>
        <w:t xml:space="preserve">Nota. Datos anuales: INEI (Victimización en el Perú 2024 y 2025); datos semestrales: INEI (boletines semestrales móviles); meta nacional: MININTER, PNMSC 2030. Resaltados en verde los datos más recientes disponibles a la fecha de elaboración del documento.</w:t>
      </w:r>
    </w:p>
    <w:p>
      <w:pPr>
        <w:spacing w:after="160" w:line="276"/>
        <w:jc w:val="both"/>
      </w:pPr>
      <w:r>
        <w:rPr>
          <w:sz w:val="22"/>
          <w:szCs w:val="22"/>
        </w:rPr>
        <w:t xml:space="preserve">Tres conclusiones se desprenden de este análisis. Primero, </w:t>
      </w:r>
      <w:r>
        <w:rPr>
          <w:b/>
          <w:bCs/>
          <w:sz w:val="22"/>
          <w:szCs w:val="22"/>
        </w:rPr>
        <w:t xml:space="preserve">la victimización urbana se mantiene en niveles alarmantes</w:t>
      </w:r>
      <w:r>
        <w:rPr>
          <w:sz w:val="22"/>
          <w:szCs w:val="22"/>
        </w:rPr>
        <w:t xml:space="preserve"> pese a la leve reducción del último semestre: en Lima Metropolitana, 1 de cada 9 personas fue víctima en los últimos seis meses, y la meta del 17 % fijada al 2030 sigue lejos de alcanzarse (MININTER, 2022). Segundo, </w:t>
      </w:r>
      <w:r>
        <w:rPr>
          <w:b/>
          <w:bCs/>
          <w:sz w:val="22"/>
          <w:szCs w:val="22"/>
        </w:rPr>
        <w:t xml:space="preserve">el delito patrimonial sigue siendo el más frecuente y predecible</w:t>
      </w:r>
      <w:r>
        <w:rPr>
          <w:sz w:val="22"/>
          <w:szCs w:val="22"/>
        </w:rPr>
        <w:t xml:space="preserve">: 18 de cada 100 limeños sufrieron robo o intento de robo en el último semestre — exactamente el foco de PreVe. Tercero, </w:t>
      </w:r>
      <w:r>
        <w:rPr>
          <w:b/>
          <w:bCs/>
          <w:sz w:val="22"/>
          <w:szCs w:val="22"/>
        </w:rPr>
        <w:t xml:space="preserve">solo el 16,1 % de las víctimas denuncia</w:t>
      </w:r>
      <w:r>
        <w:rPr>
          <w:sz w:val="22"/>
          <w:szCs w:val="22"/>
        </w:rPr>
        <w:t xml:space="preserve">, por lo que las cifras oficiales reflejan apenas una fracción del fenómeno real (INEI, 2025). Esta brecha de datos —reconocida por el propio CEPLAN como un cuello de botella para diseñar políticas eficaces— es la oportunidad que PreVe convierte en valor.</w:t>
      </w:r>
    </w:p>
    <w:p>
      <w:pPr>
        <w:pBdr>
          <w:top w:val="single" w:color="2563EB" w:sz="6" w:space="6"/>
          <w:left w:val="single" w:color="2563EB" w:sz="18" w:space="8"/>
          <w:bottom w:val="single" w:color="2563EB" w:sz="6" w:space="6"/>
          <w:right w:val="single" w:color="2563EB" w:sz="6" w:space="6"/>
        </w:pBdr>
        <w:shd w:fill="EFF4FF" w:val="clear"/>
        <w:spacing w:after="160" w:before="160"/>
      </w:pPr>
      <w:r>
        <w:rPr>
          <w:b/>
          <w:bCs/>
          <w:color w:val="2563EB"/>
          <w:sz w:val="20"/>
          <w:szCs w:val="20"/>
        </w:rPr>
        <w:t xml:space="preserve">📷 INSERTAR IMAGEN AQUÍ — </w:t>
      </w:r>
      <w:r>
        <w:rPr>
          <w:b/>
          <w:bCs/>
          <w:sz w:val="20"/>
          <w:szCs w:val="20"/>
        </w:rPr>
        <w:t xml:space="preserve">Evolución de la victimización 2021-2026</w:t>
      </w:r>
      <w:r>
        <w:br/>
        <w:t xml:space="preserve"/>
      </w:r>
      <w:r>
        <w:rPr>
          <w:i/>
          <w:iCs/>
          <w:color w:val="555555"/>
          <w:sz w:val="18"/>
          <w:szCs w:val="18"/>
        </w:rPr>
        <w:t xml:space="preserve">Puedes generar este gráfico de líneas a partir del archivo Excel adjunto añadiendo los datos semestrales 2025-2026. Alternativamente, captura el gráfico de evolución de victimización del informe Victimización en el Perú 2025 del INEI.</w:t>
      </w:r>
      <w:r>
        <w:br/>
        <w:t xml:space="preserve"/>
      </w:r>
      <w:r>
        <w:rPr>
          <w:color w:val="555555"/>
          <w:sz w:val="18"/>
          <w:szCs w:val="18"/>
        </w:rPr>
        <w:t xml:space="preserve">Fuente para capturar: </w:t>
      </w:r>
      <w:hyperlink w:history="1" r:id="rIdbs1bw6atebq5menrv-sqn">
        <w:r>
          <w:rPr>
            <w:rStyle w:val="Hyperlink"/>
            <w:sz w:val="18"/>
            <w:szCs w:val="18"/>
          </w:rPr>
          <w:t xml:space="preserve">https://www.gob.pe/institucion/inei/informes-publicaciones/7938429-victimizacion-en-el-peru-2025</w:t>
        </w:r>
      </w:hyperlink>
      <w:r>
        <w:br/>
        <w:t xml:space="preserve"/>
        <w:br/>
        <w:t xml:space="preserve"/>
      </w:r>
      <w:r>
        <w:rPr>
          <w:b/>
          <w:bCs/>
          <w:color w:val="B45309"/>
          <w:sz w:val="18"/>
          <w:szCs w:val="18"/>
        </w:rPr>
        <w:t xml:space="preserve">Referencia para pegar debajo de la imagen:</w:t>
      </w:r>
      <w:r>
        <w:br/>
        <w:t xml:space="preserve"/>
      </w:r>
      <w:r>
        <w:rPr>
          <w:sz w:val="18"/>
          <w:szCs w:val="18"/>
        </w:rPr>
        <w:t xml:space="preserve">Figura 7. </w:t>
      </w:r>
      <w:r>
        <w:rPr>
          <w:i/>
          <w:iCs/>
          <w:sz w:val="18"/>
          <w:szCs w:val="18"/>
        </w:rPr>
        <w:t xml:space="preserve">Evolución de la tasa de victimización urbana en el Perú y Lima Metropolitana (2021-2026). </w:t>
      </w:r>
      <w:r>
        <w:rPr>
          <w:sz w:val="18"/>
          <w:szCs w:val="18"/>
        </w:rPr>
        <w:t xml:space="preserve">Elaboración propia con datos de INEI (2024, 2025, 2026) y CEPLAN (2025).</w:t>
      </w:r>
    </w:p>
    <w:p>
      <w:pPr>
        <w:pStyle w:val="Heading1"/>
      </w:pPr>
      <w:r>
        <w:t xml:space="preserve">6. Síntesis del diagnóstico</w:t>
      </w:r>
    </w:p>
    <w:p>
      <w:pPr>
        <w:spacing w:after="160" w:line="276"/>
        <w:jc w:val="both"/>
      </w:pPr>
      <w:r>
        <w:rPr>
          <w:sz w:val="22"/>
          <w:szCs w:val="22"/>
        </w:rPr>
        <w:t xml:space="preserve">El análisis detallado confirma cinco hallazgos que sustentan la pertinencia de PreVe: (</w:t>
      </w:r>
      <w:r>
        <w:rPr>
          <w:b/>
          <w:bCs/>
          <w:sz w:val="22"/>
          <w:szCs w:val="22"/>
        </w:rPr>
        <w:t xml:space="preserve">1</w:t>
      </w:r>
      <w:r>
        <w:rPr>
          <w:sz w:val="22"/>
          <w:szCs w:val="22"/>
        </w:rPr>
        <w:t xml:space="preserve">) la propuesta cuenta con respaldo criminológico sólido —las teorías de las actividades rutinarias, las ventanas rotas y la eficacia colectiva explican por qué la información comunitaria y la prevención situacional reducen el delito; (</w:t>
      </w:r>
      <w:r>
        <w:rPr>
          <w:b/>
          <w:bCs/>
          <w:sz w:val="22"/>
          <w:szCs w:val="22"/>
        </w:rPr>
        <w:t xml:space="preserve">2</w:t>
      </w:r>
      <w:r>
        <w:rPr>
          <w:sz w:val="22"/>
          <w:szCs w:val="22"/>
        </w:rPr>
        <w:t xml:space="preserve">) la inseguridad en Lima Centro responde a causas estructurales profundas (desigualdad, desempleo juvenil, debilidad institucional) sobre las cuales la información y la prevención comunitaria sí pueden incidir; (</w:t>
      </w:r>
      <w:r>
        <w:rPr>
          <w:b/>
          <w:bCs/>
          <w:sz w:val="22"/>
          <w:szCs w:val="22"/>
        </w:rPr>
        <w:t xml:space="preserve">3</w:t>
      </w:r>
      <w:r>
        <w:rPr>
          <w:sz w:val="22"/>
          <w:szCs w:val="22"/>
        </w:rPr>
        <w:t xml:space="preserve">) la concentración y el crecimiento acelerado de denuncias en distritos como el Cercado de Lima y La Victoria, sumados al predominio de delitos patrimoniales (83,2 %), confirman que la propuesta ataca el problema correcto en el territorio correcto; (</w:t>
      </w:r>
      <w:r>
        <w:rPr>
          <w:b/>
          <w:bCs/>
          <w:sz w:val="22"/>
          <w:szCs w:val="22"/>
        </w:rPr>
        <w:t xml:space="preserve">4</w:t>
      </w:r>
      <w:r>
        <w:rPr>
          <w:sz w:val="22"/>
          <w:szCs w:val="22"/>
        </w:rPr>
        <w:t xml:space="preserve">) el marco legal vigente —Ley N.º 27933 y la PNMSC 2030— no solo habilita, sino que demanda la participación ciudadana y la interoperabilidad de datos que PreVe ofrece; y (</w:t>
      </w:r>
      <w:r>
        <w:rPr>
          <w:b/>
          <w:bCs/>
          <w:sz w:val="22"/>
          <w:szCs w:val="22"/>
        </w:rPr>
        <w:t xml:space="preserve">5</w:t>
      </w:r>
      <w:r>
        <w:rPr>
          <w:sz w:val="22"/>
          <w:szCs w:val="22"/>
        </w:rPr>
        <w:t xml:space="preserve">) la proyección de la victimización evidencia que, sin intervenciones innovadoras, el problema seguirá agravándose. PreVe se posiciona así como una respuesta tecnológica pertinente, científicamente fundamentada, legalmente alineada y socialmente urgente.</w:t>
      </w:r>
    </w:p>
    <w:p>
      <w:pPr>
        <w:pStyle w:val="Heading1"/>
      </w:pPr>
      <w:r>
        <w:t xml:space="preserve">Referencias (APA 7.ª edición)</w:t>
      </w:r>
    </w:p>
    <w:p>
      <w:pPr>
        <w:spacing w:after="120" w:line="264"/>
        <w:ind w:left="720" w:hanging="720"/>
      </w:pPr>
      <w:r>
        <w:rPr>
          <w:sz w:val="20"/>
          <w:szCs w:val="20"/>
        </w:rPr>
        <w:t xml:space="preserve">Babuta, A. y Oswald, M. (2019). </w:t>
      </w:r>
      <w:r>
        <w:rPr>
          <w:i/>
          <w:iCs/>
          <w:sz w:val="20"/>
          <w:szCs w:val="20"/>
        </w:rPr>
        <w:t xml:space="preserve">Machine learning and the police: Asking the right questions</w:t>
      </w:r>
      <w:r>
        <w:rPr>
          <w:sz w:val="20"/>
          <w:szCs w:val="20"/>
        </w:rPr>
        <w:t xml:space="preserve">. Policing: A Journal of Policy and Practice, 15(1), 44-58. </w:t>
      </w:r>
      <w:hyperlink w:history="1" r:id="rIdxf07lnildq5lqjh2uijrt">
        <w:r>
          <w:rPr>
            <w:rStyle w:val="Hyperlink"/>
            <w:sz w:val="20"/>
            <w:szCs w:val="20"/>
          </w:rPr>
          <w:t xml:space="preserve">https://academic.oup.com/policing/article/15/1/44/5518992</w:t>
        </w:r>
      </w:hyperlink>
    </w:p>
    <w:p>
      <w:pPr>
        <w:spacing w:after="120" w:line="264"/>
        <w:ind w:left="720" w:hanging="720"/>
      </w:pPr>
      <w:r>
        <w:rPr>
          <w:sz w:val="20"/>
          <w:szCs w:val="20"/>
        </w:rPr>
        <w:t xml:space="preserve">Carleton, B., Cunningham, B. y Thorkildsen, Z. (2020). </w:t>
      </w:r>
      <w:r>
        <w:rPr>
          <w:i/>
          <w:iCs/>
          <w:sz w:val="20"/>
          <w:szCs w:val="20"/>
        </w:rPr>
        <w:t xml:space="preserve">The use of predictive analytics in policing</w:t>
      </w:r>
      <w:r>
        <w:rPr>
          <w:sz w:val="20"/>
          <w:szCs w:val="20"/>
        </w:rPr>
        <w:t xml:space="preserve">. CNA / Bureau of Justice Assistance. </w:t>
      </w:r>
      <w:hyperlink w:history="1" r:id="rIdms47ndyfztzyi0jizyyqq">
        <w:r>
          <w:rPr>
            <w:rStyle w:val="Hyperlink"/>
            <w:sz w:val="20"/>
            <w:szCs w:val="20"/>
          </w:rPr>
          <w:t xml:space="preserve">https://apps.dtic.mil/sti/trecms/pdf/AD1145696.pdf</w:t>
        </w:r>
      </w:hyperlink>
    </w:p>
    <w:p>
      <w:pPr>
        <w:spacing w:after="120" w:line="264"/>
        <w:ind w:left="720" w:hanging="720"/>
      </w:pPr>
      <w:r>
        <w:rPr>
          <w:sz w:val="20"/>
          <w:szCs w:val="20"/>
        </w:rPr>
        <w:t xml:space="preserve">Centro Nacional de Planeamiento Estratégico [CEPLAN]. (2024a). </w:t>
      </w:r>
      <w:r>
        <w:rPr>
          <w:i/>
          <w:iCs/>
          <w:sz w:val="20"/>
          <w:szCs w:val="20"/>
        </w:rPr>
        <w:t xml:space="preserve">Exacerbación de la inseguridad ciudadana</w:t>
      </w:r>
      <w:r>
        <w:rPr>
          <w:sz w:val="20"/>
          <w:szCs w:val="20"/>
        </w:rPr>
        <w:t xml:space="preserve">. Observatorio Nacional de Prospectiva. </w:t>
      </w:r>
      <w:hyperlink w:history="1" r:id="rId3pbqeed7zjbcexbzs4qz_">
        <w:r>
          <w:rPr>
            <w:rStyle w:val="Hyperlink"/>
            <w:sz w:val="20"/>
            <w:szCs w:val="20"/>
          </w:rPr>
          <w:t xml:space="preserve">https://observatorio.ceplan.gob.pe/ficha/r3_ica</w:t>
        </w:r>
      </w:hyperlink>
    </w:p>
    <w:p>
      <w:pPr>
        <w:spacing w:after="120" w:line="264"/>
        <w:ind w:left="720" w:hanging="720"/>
      </w:pPr>
      <w:r>
        <w:rPr>
          <w:sz w:val="20"/>
          <w:szCs w:val="20"/>
        </w:rPr>
        <w:t xml:space="preserve">Centro Nacional de Planeamiento Estratégico [CEPLAN]. (2024b). </w:t>
      </w:r>
      <w:r>
        <w:rPr>
          <w:i/>
          <w:iCs/>
          <w:sz w:val="20"/>
          <w:szCs w:val="20"/>
        </w:rPr>
        <w:t xml:space="preserve">Persistencia de la inseguridad ciudadana</w:t>
      </w:r>
      <w:r>
        <w:rPr>
          <w:sz w:val="20"/>
          <w:szCs w:val="20"/>
        </w:rPr>
        <w:t xml:space="preserve">. Observatorio Nacional de Prospectiva. </w:t>
      </w:r>
      <w:hyperlink w:history="1" r:id="rIdmlukeogpn96ltimnsla7p">
        <w:r>
          <w:rPr>
            <w:rStyle w:val="Hyperlink"/>
            <w:sz w:val="20"/>
            <w:szCs w:val="20"/>
          </w:rPr>
          <w:t xml:space="preserve">https://observatorio.ceplan.gob.pe/ficha/t26</w:t>
        </w:r>
      </w:hyperlink>
    </w:p>
    <w:p>
      <w:pPr>
        <w:spacing w:after="120" w:line="264"/>
        <w:ind w:left="720" w:hanging="720"/>
      </w:pPr>
      <w:r>
        <w:rPr>
          <w:sz w:val="20"/>
          <w:szCs w:val="20"/>
        </w:rPr>
        <w:t xml:space="preserve">Centro Nacional de Planeamiento Estratégico [CEPLAN]. (2025). </w:t>
      </w:r>
      <w:r>
        <w:rPr>
          <w:i/>
          <w:iCs/>
          <w:sz w:val="20"/>
          <w:szCs w:val="20"/>
        </w:rPr>
        <w:t xml:space="preserve">Persistencia de la inseguridad ciudadana (actualización octubre 2025)</w:t>
      </w:r>
      <w:r>
        <w:rPr>
          <w:sz w:val="20"/>
          <w:szCs w:val="20"/>
        </w:rPr>
        <w:t xml:space="preserve">. Observatorio Nacional de Prospectiva. </w:t>
      </w:r>
      <w:hyperlink w:history="1" r:id="rId4qrqksi4e2bnhtve2tzhh">
        <w:r>
          <w:rPr>
            <w:rStyle w:val="Hyperlink"/>
            <w:sz w:val="20"/>
            <w:szCs w:val="20"/>
          </w:rPr>
          <w:t xml:space="preserve">https://observatorio.ceplan.gob.pe/ficha/t26</w:t>
        </w:r>
      </w:hyperlink>
    </w:p>
    <w:p>
      <w:pPr>
        <w:spacing w:after="120" w:line="264"/>
        <w:ind w:left="720" w:hanging="720"/>
      </w:pPr>
      <w:r>
        <w:rPr>
          <w:sz w:val="20"/>
          <w:szCs w:val="20"/>
        </w:rPr>
        <w:t xml:space="preserve">Credicorp &amp; Capital Humano y Social S. A. [CHS]. (2025). </w:t>
      </w:r>
      <w:r>
        <w:rPr>
          <w:i/>
          <w:iCs/>
          <w:sz w:val="20"/>
          <w:szCs w:val="20"/>
        </w:rPr>
        <w:t xml:space="preserve">Segundo reporte del Observatorio del Crimen y la Violencia</w:t>
      </w:r>
      <w:r>
        <w:rPr>
          <w:sz w:val="20"/>
          <w:szCs w:val="20"/>
        </w:rPr>
        <w:t xml:space="preserve">. Banco de Ideas Credicorp. </w:t>
      </w:r>
      <w:hyperlink w:history="1" r:id="rId99ddulyrzxlpoaktb6lv5">
        <w:r>
          <w:rPr>
            <w:rStyle w:val="Hyperlink"/>
            <w:sz w:val="20"/>
            <w:szCs w:val="20"/>
          </w:rPr>
          <w:t xml:space="preserve">https://observatoriodelcrimenylaviolencia.com/</w:t>
        </w:r>
      </w:hyperlink>
    </w:p>
    <w:p>
      <w:pPr>
        <w:spacing w:after="120" w:line="264"/>
        <w:ind w:left="720" w:hanging="720"/>
      </w:pPr>
      <w:r>
        <w:rPr>
          <w:sz w:val="20"/>
          <w:szCs w:val="20"/>
        </w:rPr>
        <w:t xml:space="preserve">Cohen, L. E. y Felson, M. (1979). </w:t>
      </w:r>
      <w:r>
        <w:rPr>
          <w:i/>
          <w:iCs/>
          <w:sz w:val="20"/>
          <w:szCs w:val="20"/>
        </w:rPr>
        <w:t xml:space="preserve">Social change and crime rate trends: A routine activity approach</w:t>
      </w:r>
      <w:r>
        <w:rPr>
          <w:sz w:val="20"/>
          <w:szCs w:val="20"/>
        </w:rPr>
        <w:t xml:space="preserve">. American Sociological Review, 44(4), 588-608. </w:t>
      </w:r>
      <w:hyperlink w:history="1" r:id="rId08qknlsrtefmv8qs5k3pp">
        <w:r>
          <w:rPr>
            <w:rStyle w:val="Hyperlink"/>
            <w:sz w:val="20"/>
            <w:szCs w:val="20"/>
          </w:rPr>
          <w:t xml:space="preserve">https://www.jstor.org/stable/2094589</w:t>
        </w:r>
      </w:hyperlink>
    </w:p>
    <w:p>
      <w:pPr>
        <w:spacing w:after="120" w:line="264"/>
        <w:ind w:left="720" w:hanging="720"/>
      </w:pPr>
      <w:r>
        <w:rPr>
          <w:sz w:val="20"/>
          <w:szCs w:val="20"/>
        </w:rPr>
        <w:t xml:space="preserve">Congreso de la República del Perú. (2003). </w:t>
      </w:r>
      <w:r>
        <w:rPr>
          <w:i/>
          <w:iCs/>
          <w:sz w:val="20"/>
          <w:szCs w:val="20"/>
        </w:rPr>
        <w:t xml:space="preserve">Ley N.º 27933, Ley del Sistema Nacional de Seguridad Ciudadana</w:t>
      </w:r>
      <w:r>
        <w:rPr>
          <w:sz w:val="20"/>
          <w:szCs w:val="20"/>
        </w:rPr>
        <w:t xml:space="preserve">. </w:t>
      </w:r>
      <w:hyperlink w:history="1" r:id="rIdt3ab_1ewpijpxzakpyrmd">
        <w:r>
          <w:rPr>
            <w:rStyle w:val="Hyperlink"/>
            <w:sz w:val="20"/>
            <w:szCs w:val="20"/>
          </w:rPr>
          <w:t xml:space="preserve">https://www.muniate.gob.pe/wp-content/uploads/2025/07/Ley-No-27933-Ley-del-Sistema-Nacional-de-Seguridad-Ciudadana.pdf</w:t>
        </w:r>
      </w:hyperlink>
    </w:p>
    <w:p>
      <w:pPr>
        <w:spacing w:after="120" w:line="264"/>
        <w:ind w:left="720" w:hanging="720"/>
      </w:pPr>
      <w:r>
        <w:rPr>
          <w:sz w:val="20"/>
          <w:szCs w:val="20"/>
        </w:rPr>
        <w:t xml:space="preserve">El Comercio. (2024, 24 de agosto). </w:t>
      </w:r>
      <w:r>
        <w:rPr>
          <w:i/>
          <w:iCs/>
          <w:sz w:val="20"/>
          <w:szCs w:val="20"/>
        </w:rPr>
        <w:t xml:space="preserve">Lima Centro duplicó la cifra de denuncias por delitos del 2021: los distritos más afectados</w:t>
      </w:r>
      <w:r>
        <w:rPr>
          <w:sz w:val="20"/>
          <w:szCs w:val="20"/>
        </w:rPr>
        <w:t xml:space="preserve">. El Comercio. </w:t>
      </w:r>
      <w:hyperlink w:history="1" r:id="rIdblyndmk_r_n2btt758zwr">
        <w:r>
          <w:rPr>
            <w:rStyle w:val="Hyperlink"/>
            <w:sz w:val="20"/>
            <w:szCs w:val="20"/>
          </w:rPr>
          <w:t xml:space="preserve">https://elcomercio.pe/lima/seguridad/lima-centro-duplico-la-cifra-de-denuncias-por-delitos-del-2021-noticia/</w:t>
        </w:r>
      </w:hyperlink>
    </w:p>
    <w:p>
      <w:pPr>
        <w:spacing w:after="120" w:line="264"/>
        <w:ind w:left="720" w:hanging="720"/>
      </w:pPr>
      <w:r>
        <w:rPr>
          <w:sz w:val="20"/>
          <w:szCs w:val="20"/>
        </w:rPr>
        <w:t xml:space="preserve">Felson, M. y Clarke, R. V. (1998). </w:t>
      </w:r>
      <w:r>
        <w:rPr>
          <w:i/>
          <w:iCs/>
          <w:sz w:val="20"/>
          <w:szCs w:val="20"/>
        </w:rPr>
        <w:t xml:space="preserve">Opportunity makes the thief: Practical theory for crime prevention</w:t>
      </w:r>
      <w:r>
        <w:rPr>
          <w:sz w:val="20"/>
          <w:szCs w:val="20"/>
        </w:rPr>
        <w:t xml:space="preserve"> (Police Research Series, Paper 98). Home Office. </w:t>
      </w:r>
      <w:hyperlink w:history="1" r:id="rIdeosrmag-jxgxcato97yhy">
        <w:r>
          <w:rPr>
            <w:rStyle w:val="Hyperlink"/>
            <w:sz w:val="20"/>
            <w:szCs w:val="20"/>
          </w:rPr>
          <w:t xml:space="preserve">https://repositorio.gobiernolocal.es/xmlui/bitstream/handle/10873/855/claves06_09_felson_clarke.pdf</w:t>
        </w:r>
      </w:hyperlink>
    </w:p>
    <w:p>
      <w:pPr>
        <w:spacing w:after="120" w:line="264"/>
        <w:ind w:left="720" w:hanging="720"/>
      </w:pPr>
      <w:r>
        <w:rPr>
          <w:sz w:val="20"/>
          <w:szCs w:val="20"/>
        </w:rPr>
        <w:t xml:space="preserve">I Congreso Internacional ICAP. (2025). </w:t>
      </w:r>
      <w:r>
        <w:rPr>
          <w:i/>
          <w:iCs/>
          <w:sz w:val="20"/>
          <w:szCs w:val="20"/>
        </w:rPr>
        <w:t xml:space="preserve">Conclusiones: la inseguridad ciudadana como problema sistémico</w:t>
      </w:r>
      <w:r>
        <w:rPr>
          <w:sz w:val="20"/>
          <w:szCs w:val="20"/>
        </w:rPr>
        <w:t xml:space="preserve">. Instituto de Ciencias de la Administración Pública. </w:t>
      </w:r>
      <w:hyperlink w:history="1" r:id="rIdrfkjuq0t1mv-ihctdk2le">
        <w:r>
          <w:rPr>
            <w:rStyle w:val="Hyperlink"/>
            <w:sz w:val="20"/>
            <w:szCs w:val="20"/>
          </w:rPr>
          <w:t xml:space="preserve">https://icap.pe/images/2025/I%20Congreso%20Internacional%202025/CONCLUSIONES%20ICAP%20CONGRESO%20OO%20OK.pdf</w:t>
        </w:r>
      </w:hyperlink>
    </w:p>
    <w:p>
      <w:pPr>
        <w:spacing w:after="120" w:line="264"/>
        <w:ind w:left="720" w:hanging="720"/>
      </w:pPr>
      <w:r>
        <w:rPr>
          <w:sz w:val="20"/>
          <w:szCs w:val="20"/>
        </w:rPr>
        <w:t xml:space="preserve">Instituto de Estudios Peruanos [IEP]. (2025, 11 de septiembre). </w:t>
      </w:r>
      <w:r>
        <w:rPr>
          <w:i/>
          <w:iCs/>
          <w:sz w:val="20"/>
          <w:szCs w:val="20"/>
        </w:rPr>
        <w:t xml:space="preserve">La victimización en el Perú: ¿puede un indicador desviar el rumbo de la política de seguridad?</w:t>
      </w:r>
      <w:r>
        <w:rPr>
          <w:sz w:val="20"/>
          <w:szCs w:val="20"/>
        </w:rPr>
        <w:t xml:space="preserve">. Crítica y Debate IEP. </w:t>
      </w:r>
      <w:hyperlink w:history="1" r:id="rIdsyrv_owjyyv2m-tevn5fj">
        <w:r>
          <w:rPr>
            <w:rStyle w:val="Hyperlink"/>
            <w:sz w:val="20"/>
            <w:szCs w:val="20"/>
          </w:rPr>
          <w:t xml:space="preserve">https://criticaydebate.iep.org.pe/noticias/la-victimizacion-en-el-peru-puede-un-indicador-desviar-el-rumbo-de-la-politica-de-seguridad/</w:t>
        </w:r>
      </w:hyperlink>
    </w:p>
    <w:p>
      <w:pPr>
        <w:spacing w:after="120" w:line="264"/>
        <w:ind w:left="720" w:hanging="720"/>
      </w:pPr>
      <w:r>
        <w:rPr>
          <w:sz w:val="20"/>
          <w:szCs w:val="20"/>
        </w:rPr>
        <w:t xml:space="preserve">Infobae. (2022, 22 de junio). </w:t>
      </w:r>
      <w:r>
        <w:rPr>
          <w:i/>
          <w:iCs/>
          <w:sz w:val="20"/>
          <w:szCs w:val="20"/>
        </w:rPr>
        <w:t xml:space="preserve">Gobierno aprobó la Política Nacional Multisectorial de Seguridad Ciudadana al 2030</w:t>
      </w:r>
      <w:r>
        <w:rPr>
          <w:sz w:val="20"/>
          <w:szCs w:val="20"/>
        </w:rPr>
        <w:t xml:space="preserve">. Infobae. </w:t>
      </w:r>
      <w:hyperlink w:history="1" r:id="rId0qkkx6tw-6cf81rdbuor2">
        <w:r>
          <w:rPr>
            <w:rStyle w:val="Hyperlink"/>
            <w:sz w:val="20"/>
            <w:szCs w:val="20"/>
          </w:rPr>
          <w:t xml:space="preserve">https://www.infobae.com/america/peru/2022/06/22/gobierno-aprobo-la-politica-nacional-multisectorial-de-seguridad-ciudadana-al-2030/</w:t>
        </w:r>
      </w:hyperlink>
    </w:p>
    <w:p>
      <w:pPr>
        <w:spacing w:after="120" w:line="264"/>
        <w:ind w:left="720" w:hanging="720"/>
      </w:pPr>
      <w:r>
        <w:rPr>
          <w:sz w:val="20"/>
          <w:szCs w:val="20"/>
        </w:rPr>
        <w:t xml:space="preserve">Infobae. (2024, 15 de julio). </w:t>
      </w:r>
      <w:r>
        <w:rPr>
          <w:i/>
          <w:iCs/>
          <w:sz w:val="20"/>
          <w:szCs w:val="20"/>
        </w:rPr>
        <w:t xml:space="preserve">Este distrito de Lima registra 0,0 % de ocurrencia de delitos en tres meses, según el INEI</w:t>
      </w:r>
      <w:r>
        <w:rPr>
          <w:sz w:val="20"/>
          <w:szCs w:val="20"/>
        </w:rPr>
        <w:t xml:space="preserve">. Infobae. </w:t>
      </w:r>
      <w:hyperlink w:history="1" r:id="rId4ofxqjx39jske-48oq2je">
        <w:r>
          <w:rPr>
            <w:rStyle w:val="Hyperlink"/>
            <w:sz w:val="20"/>
            <w:szCs w:val="20"/>
          </w:rPr>
          <w:t xml:space="preserve">https://www.infobae.com/peru/2024/07/15/el-mas-seguro-este-distrito-de-lima-registra-00-de-ocurrencia-de-delitos-en-tres-meses-segun-el-inei/</w:t>
        </w:r>
      </w:hyperlink>
    </w:p>
    <w:p>
      <w:pPr>
        <w:spacing w:after="120" w:line="264"/>
        <w:ind w:left="720" w:hanging="720"/>
      </w:pPr>
      <w:r>
        <w:rPr>
          <w:sz w:val="20"/>
          <w:szCs w:val="20"/>
        </w:rPr>
        <w:t xml:space="preserve">Instituto Nacional de Estadística e Informática [INEI]. (2024). </w:t>
      </w:r>
      <w:r>
        <w:rPr>
          <w:i/>
          <w:iCs/>
          <w:sz w:val="20"/>
          <w:szCs w:val="20"/>
        </w:rPr>
        <w:t xml:space="preserve">Victimización en el Perú 2024</w:t>
      </w:r>
      <w:r>
        <w:rPr>
          <w:sz w:val="20"/>
          <w:szCs w:val="20"/>
        </w:rPr>
        <w:t xml:space="preserve">. </w:t>
      </w:r>
      <w:hyperlink w:history="1" r:id="rIdkob7d2byjygb8neh598ju">
        <w:r>
          <w:rPr>
            <w:rStyle w:val="Hyperlink"/>
            <w:sz w:val="20"/>
            <w:szCs w:val="20"/>
          </w:rPr>
          <w:t xml:space="preserve">https://www.inei.gob.pe/media/MenuRecursivo/publicaciones_digitales/Est/Lib2013/index.html</w:t>
        </w:r>
      </w:hyperlink>
    </w:p>
    <w:p>
      <w:pPr>
        <w:spacing w:after="120" w:line="264"/>
        <w:ind w:left="720" w:hanging="720"/>
      </w:pPr>
      <w:r>
        <w:rPr>
          <w:sz w:val="20"/>
          <w:szCs w:val="20"/>
        </w:rPr>
        <w:t xml:space="preserve">Instituto Nacional de Estadística e Informática [INEI]. (2025). </w:t>
      </w:r>
      <w:r>
        <w:rPr>
          <w:i/>
          <w:iCs/>
          <w:sz w:val="20"/>
          <w:szCs w:val="20"/>
        </w:rPr>
        <w:t xml:space="preserve">Victimización en el Perú 2025</w:t>
      </w:r>
      <w:r>
        <w:rPr>
          <w:sz w:val="20"/>
          <w:szCs w:val="20"/>
        </w:rPr>
        <w:t xml:space="preserve">. Lima: INEI. </w:t>
      </w:r>
      <w:hyperlink w:history="1" r:id="rIditlnizi68twpubtfel2e2">
        <w:r>
          <w:rPr>
            <w:rStyle w:val="Hyperlink"/>
            <w:sz w:val="20"/>
            <w:szCs w:val="20"/>
          </w:rPr>
          <w:t xml:space="preserve">https://www.gob.pe/institucion/inei/informes-publicaciones/7938429-victimizacion-en-el-peru-2025</w:t>
        </w:r>
      </w:hyperlink>
    </w:p>
    <w:p>
      <w:pPr>
        <w:spacing w:after="120" w:line="264"/>
        <w:ind w:left="720" w:hanging="720"/>
      </w:pPr>
      <w:r>
        <w:rPr>
          <w:sz w:val="20"/>
          <w:szCs w:val="20"/>
        </w:rPr>
        <w:t xml:space="preserve">Instituto Nacional de Estadística e Informática [INEI]. (2026). </w:t>
      </w:r>
      <w:r>
        <w:rPr>
          <w:i/>
          <w:iCs/>
          <w:sz w:val="20"/>
          <w:szCs w:val="20"/>
        </w:rPr>
        <w:t xml:space="preserve">Informe Técnico — Estadísticas de Seguridad Ciudadana. Semestre móvil setiembre 2025 – febrero 2026</w:t>
      </w:r>
      <w:r>
        <w:rPr>
          <w:sz w:val="20"/>
          <w:szCs w:val="20"/>
        </w:rPr>
        <w:t xml:space="preserve">. Lima: INEI. </w:t>
      </w:r>
      <w:hyperlink w:history="1" r:id="rIdnx8uks6bt3d4uv7-wr3uf">
        <w:r>
          <w:rPr>
            <w:rStyle w:val="Hyperlink"/>
            <w:sz w:val="20"/>
            <w:szCs w:val="20"/>
          </w:rPr>
          <w:t xml:space="preserve">https://www.inei.gob.pe/biblioteca-virtual/boletines/estadisticas-de-seguridad-ciudadana/1/</w:t>
        </w:r>
      </w:hyperlink>
    </w:p>
    <w:p>
      <w:pPr>
        <w:spacing w:after="120" w:line="264"/>
        <w:ind w:left="720" w:hanging="720"/>
      </w:pPr>
      <w:r>
        <w:rPr>
          <w:sz w:val="20"/>
          <w:szCs w:val="20"/>
        </w:rPr>
        <w:t xml:space="preserve">Jurado, J. D. (2021). </w:t>
      </w:r>
      <w:r>
        <w:rPr>
          <w:i/>
          <w:iCs/>
          <w:sz w:val="20"/>
          <w:szCs w:val="20"/>
        </w:rPr>
        <w:t xml:space="preserve">Desigualdad social y criminalidad en el Perú</w:t>
      </w:r>
      <w:r>
        <w:rPr>
          <w:sz w:val="20"/>
          <w:szCs w:val="20"/>
        </w:rPr>
        <w:t xml:space="preserve">. Instituto Nacional de Estadística e Informática. </w:t>
      </w:r>
      <w:hyperlink w:history="1" r:id="rId_wgv1pjlytvyq5gckdefc">
        <w:r>
          <w:rPr>
            <w:rStyle w:val="Hyperlink"/>
            <w:sz w:val="20"/>
            <w:szCs w:val="20"/>
          </w:rPr>
          <w:t xml:space="preserve">https://www.inei.gob.pe/media/MenuRecursivo/investigaciones/desigualdad-social-peru.pdf</w:t>
        </w:r>
      </w:hyperlink>
    </w:p>
    <w:p>
      <w:pPr>
        <w:spacing w:after="120" w:line="264"/>
        <w:ind w:left="720" w:hanging="720"/>
      </w:pPr>
      <w:r>
        <w:rPr>
          <w:sz w:val="20"/>
          <w:szCs w:val="20"/>
        </w:rPr>
        <w:t xml:space="preserve">Kang, H.-W. y Kang, H.-B. (2017). </w:t>
      </w:r>
      <w:r>
        <w:rPr>
          <w:i/>
          <w:iCs/>
          <w:sz w:val="20"/>
          <w:szCs w:val="20"/>
        </w:rPr>
        <w:t xml:space="preserve">Prediction of crime occurrence from multi-modal data using deep learning</w:t>
      </w:r>
      <w:r>
        <w:rPr>
          <w:sz w:val="20"/>
          <w:szCs w:val="20"/>
        </w:rPr>
        <w:t xml:space="preserve">. PLOS ONE, 12(4), e0176244. </w:t>
      </w:r>
      <w:hyperlink w:history="1" r:id="rId-yl9fqlrn9ezbr6sjwye-">
        <w:r>
          <w:rPr>
            <w:rStyle w:val="Hyperlink"/>
            <w:sz w:val="20"/>
            <w:szCs w:val="20"/>
          </w:rPr>
          <w:t xml:space="preserve">https://journals.plos.org/plosone/article?id=10.1371/journal.pone.0176244</w:t>
        </w:r>
      </w:hyperlink>
    </w:p>
    <w:p>
      <w:pPr>
        <w:spacing w:after="120" w:line="264"/>
        <w:ind w:left="720" w:hanging="720"/>
      </w:pPr>
      <w:r>
        <w:rPr>
          <w:sz w:val="20"/>
          <w:szCs w:val="20"/>
        </w:rPr>
        <w:t xml:space="preserve">La República. (2024, 12 de julio). </w:t>
      </w:r>
      <w:r>
        <w:rPr>
          <w:i/>
          <w:iCs/>
          <w:sz w:val="20"/>
          <w:szCs w:val="20"/>
        </w:rPr>
        <w:t xml:space="preserve">¿Cuáles son los dos distritos más peligrosos de Lima, según el INEI?</w:t>
      </w:r>
      <w:r>
        <w:rPr>
          <w:sz w:val="20"/>
          <w:szCs w:val="20"/>
        </w:rPr>
        <w:t xml:space="preserve">. La República. </w:t>
      </w:r>
      <w:hyperlink w:history="1" r:id="rIdr1syjtmcab6ki67ltvvtg">
        <w:r>
          <w:rPr>
            <w:rStyle w:val="Hyperlink"/>
            <w:sz w:val="20"/>
            <w:szCs w:val="20"/>
          </w:rPr>
          <w:t xml:space="preserve">https://larepublica.pe/sociedad/2024/07/12/cuales-son-los-dos-distritos-mas-peligros-de-lima-segun-el-inei-959520</w:t>
        </w:r>
      </w:hyperlink>
    </w:p>
    <w:p>
      <w:pPr>
        <w:spacing w:after="120" w:line="264"/>
        <w:ind w:left="720" w:hanging="720"/>
      </w:pPr>
      <w:r>
        <w:rPr>
          <w:sz w:val="20"/>
          <w:szCs w:val="20"/>
        </w:rPr>
        <w:t xml:space="preserve">Ministerio del Interior [MININTER]. (2022). </w:t>
      </w:r>
      <w:r>
        <w:rPr>
          <w:i/>
          <w:iCs/>
          <w:sz w:val="20"/>
          <w:szCs w:val="20"/>
        </w:rPr>
        <w:t xml:space="preserve">Política Nacional Multisectorial de Seguridad Ciudadana al 2030 [Decreto Supremo N.º 006-2022-IN]</w:t>
      </w:r>
      <w:r>
        <w:rPr>
          <w:sz w:val="20"/>
          <w:szCs w:val="20"/>
        </w:rPr>
        <w:t xml:space="preserve">. </w:t>
      </w:r>
      <w:hyperlink w:history="1" r:id="rIdwdrcn7x6vg23mqrjq2rcw">
        <w:r>
          <w:rPr>
            <w:rStyle w:val="Hyperlink"/>
            <w:sz w:val="20"/>
            <w:szCs w:val="20"/>
          </w:rPr>
          <w:t xml:space="preserve">https://www.gob.pe/institucion/mininter/informes-publicaciones/3150919-politica-nacional-multisectorial-de-seguridad-ciudadana-al-2030</w:t>
        </w:r>
      </w:hyperlink>
    </w:p>
    <w:p>
      <w:pPr>
        <w:spacing w:after="120" w:line="264"/>
        <w:ind w:left="720" w:hanging="720"/>
      </w:pPr>
      <w:r>
        <w:rPr>
          <w:sz w:val="20"/>
          <w:szCs w:val="20"/>
        </w:rPr>
        <w:t xml:space="preserve">Ministerio del Interior [MININTER]. (s.f.). </w:t>
      </w:r>
      <w:r>
        <w:rPr>
          <w:i/>
          <w:iCs/>
          <w:sz w:val="20"/>
          <w:szCs w:val="20"/>
        </w:rPr>
        <w:t xml:space="preserve">Indicadores para la gestión de la seguridad ciudadana en Lima Centro</w:t>
      </w:r>
      <w:r>
        <w:rPr>
          <w:sz w:val="20"/>
          <w:szCs w:val="20"/>
        </w:rPr>
        <w:t xml:space="preserve">. Observatorio Nacional de Seguridad Ciudadana. </w:t>
      </w:r>
      <w:hyperlink w:history="1" r:id="rIdckdq3frc2cbxu5kbuqpoi">
        <w:r>
          <w:rPr>
            <w:rStyle w:val="Hyperlink"/>
            <w:sz w:val="20"/>
            <w:szCs w:val="20"/>
          </w:rPr>
          <w:t xml:space="preserve">https://observatorio.mininter.gob.pe/sites/default/files/reporte/archivos/INDICADORESPARALAGESTION_LimaCentro.pdf</w:t>
        </w:r>
      </w:hyperlink>
    </w:p>
    <w:p>
      <w:pPr>
        <w:spacing w:after="120" w:line="264"/>
        <w:ind w:left="720" w:hanging="720"/>
      </w:pPr>
      <w:r>
        <w:rPr>
          <w:sz w:val="20"/>
          <w:szCs w:val="20"/>
        </w:rPr>
        <w:t xml:space="preserve">Secretaría Nacional de la Juventud [SENAJU], Ministerio de Justicia y Universidad Privada del Norte. (2019). </w:t>
      </w:r>
      <w:r>
        <w:rPr>
          <w:i/>
          <w:iCs/>
          <w:sz w:val="20"/>
          <w:szCs w:val="20"/>
        </w:rPr>
        <w:t xml:space="preserve">Criminalidad y violencia juvenil en el Perú</w:t>
      </w:r>
      <w:r>
        <w:rPr>
          <w:sz w:val="20"/>
          <w:szCs w:val="20"/>
        </w:rPr>
        <w:t xml:space="preserve">. </w:t>
      </w:r>
      <w:hyperlink w:history="1" r:id="rId2mp7i3ytmohigcj6vrtip">
        <w:r>
          <w:rPr>
            <w:rStyle w:val="Hyperlink"/>
            <w:sz w:val="20"/>
            <w:szCs w:val="20"/>
          </w:rPr>
          <w:t xml:space="preserve">https://recide.caen.edu.pe/index.php/recide/article/view/173</w:t>
        </w:r>
      </w:hyperlink>
    </w:p>
    <w:p>
      <w:pPr>
        <w:spacing w:after="120" w:line="264"/>
        <w:ind w:left="720" w:hanging="720"/>
      </w:pPr>
      <w:r>
        <w:rPr>
          <w:sz w:val="20"/>
          <w:szCs w:val="20"/>
        </w:rPr>
        <w:t xml:space="preserve">Wilson, J. Q. y Kelling, G. L. (1982). </w:t>
      </w:r>
      <w:r>
        <w:rPr>
          <w:i/>
          <w:iCs/>
          <w:sz w:val="20"/>
          <w:szCs w:val="20"/>
        </w:rPr>
        <w:t xml:space="preserve">Broken windows: The police and neighborhood safety</w:t>
      </w:r>
      <w:r>
        <w:rPr>
          <w:sz w:val="20"/>
          <w:szCs w:val="20"/>
        </w:rPr>
        <w:t xml:space="preserve">. The Atlantic Monthly, 249(3), 29-38. </w:t>
      </w:r>
      <w:hyperlink w:history="1" r:id="rIdavyxsz38kwsbejsyfgx3e">
        <w:r>
          <w:rPr>
            <w:rStyle w:val="Hyperlink"/>
            <w:sz w:val="20"/>
            <w:szCs w:val="20"/>
          </w:rPr>
          <w:t xml:space="preserve">https://www.theatlantic.com/magazine/archive/1982/03/broken-windows/304465/</w:t>
        </w:r>
      </w:hyperlink>
    </w:p>
    <w:p>
      <w:pPr>
        <w:pBdr>
          <w:top w:val="single" w:color="F59E0B" w:sz="6" w:space="6"/>
          <w:left w:val="single" w:color="F59E0B" w:sz="18" w:space="8"/>
          <w:bottom w:val="single" w:color="F59E0B" w:sz="6" w:space="6"/>
          <w:right w:val="single" w:color="F59E0B" w:sz="6" w:space="6"/>
        </w:pBdr>
        <w:shd w:fill="FFF8E1" w:val="clear"/>
        <w:spacing w:before="280"/>
      </w:pPr>
      <w:r>
        <w:rPr>
          <w:b/>
          <w:bCs/>
          <w:sz w:val="19"/>
          <w:szCs w:val="19"/>
        </w:rPr>
        <w:t xml:space="preserve">Nota para el equipo: </w:t>
      </w:r>
      <w:r>
        <w:rPr>
          <w:i/>
          <w:iCs/>
          <w:sz w:val="19"/>
          <w:szCs w:val="19"/>
        </w:rPr>
        <w:t xml:space="preserve">Las cifras provienen de fuentes oficiales (INEI, MININTER, CEPLAN) y medios que las citan. Como los dominios del Estado no siempre permiten acceso automatizado, verifica cada dato y número de página al abrir los enlaces antes de enviar. El archivo Datos_Lima_Centro.xlsx contiene las tablas de respaldo citadas.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color w:val="1A3C6E"/>
      <w:sz w:val="36"/>
      <w:szCs w:val="36"/>
    </w:rPr>
  </w:style>
  <w:style w:type="paragraph" w:styleId="Heading1">
    <w:name w:val="Heading 1"/>
    <w:basedOn w:val="Normal"/>
    <w:next w:val="Normal"/>
    <w:qFormat/>
    <w:pPr>
      <w:spacing w:after="16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p9-t_pyqnxhra1xgno9s" Type="http://schemas.openxmlformats.org/officeDocument/2006/relationships/hyperlink" Target="https://es.wikipedia.org/wiki/Teor%C3%ADa_de_las_actividades_rutinarias" TargetMode="External"/><Relationship Id="rIdaybdcijzpz5waealphgsc" Type="http://schemas.openxmlformats.org/officeDocument/2006/relationships/hyperlink" Target="https://observatorio.mininter.gob.pe/sites/default/files/proyecto/archivos/DOCUMENTOS-Pol%C3%ADtica%20Nacional%20Multisectorial%20de%20Seguridad%20Ciudadana%202030.pdf" TargetMode="External"/><Relationship Id="rId-qpe3k3j1u7blpunnhth3" Type="http://schemas.openxmlformats.org/officeDocument/2006/relationships/hyperlink" Target="https://www.inei.gob.pe/media/MenuRecursivo/boletines/estadisticas-de-seguridad-ciudadana-enero-junio-2024.pdf" TargetMode="External"/><Relationship Id="rIdbs1bw6atebq5menrv-sqn" Type="http://schemas.openxmlformats.org/officeDocument/2006/relationships/hyperlink" Target="https://www.gob.pe/institucion/inei/informes-publicaciones/7938429-victimizacion-en-el-peru-2025" TargetMode="External"/><Relationship Id="rIdxf07lnildq5lqjh2uijrt" Type="http://schemas.openxmlformats.org/officeDocument/2006/relationships/hyperlink" Target="https://academic.oup.com/policing/article/15/1/44/5518992" TargetMode="External"/><Relationship Id="rIdms47ndyfztzyi0jizyyqq" Type="http://schemas.openxmlformats.org/officeDocument/2006/relationships/hyperlink" Target="https://apps.dtic.mil/sti/trecms/pdf/AD1145696.pdf" TargetMode="External"/><Relationship Id="rId3pbqeed7zjbcexbzs4qz_" Type="http://schemas.openxmlformats.org/officeDocument/2006/relationships/hyperlink" Target="https://observatorio.ceplan.gob.pe/ficha/r3_ica" TargetMode="External"/><Relationship Id="rIdmlukeogpn96ltimnsla7p" Type="http://schemas.openxmlformats.org/officeDocument/2006/relationships/hyperlink" Target="https://observatorio.ceplan.gob.pe/ficha/t26" TargetMode="External"/><Relationship Id="rId4qrqksi4e2bnhtve2tzhh" Type="http://schemas.openxmlformats.org/officeDocument/2006/relationships/hyperlink" Target="https://observatorio.ceplan.gob.pe/ficha/t26" TargetMode="External"/><Relationship Id="rId99ddulyrzxlpoaktb6lv5" Type="http://schemas.openxmlformats.org/officeDocument/2006/relationships/hyperlink" Target="https://observatoriodelcrimenylaviolencia.com/" TargetMode="External"/><Relationship Id="rId08qknlsrtefmv8qs5k3pp" Type="http://schemas.openxmlformats.org/officeDocument/2006/relationships/hyperlink" Target="https://www.jstor.org/stable/2094589" TargetMode="External"/><Relationship Id="rIdt3ab_1ewpijpxzakpyrmd" Type="http://schemas.openxmlformats.org/officeDocument/2006/relationships/hyperlink" Target="https://www.muniate.gob.pe/wp-content/uploads/2025/07/Ley-No-27933-Ley-del-Sistema-Nacional-de-Seguridad-Ciudadana.pdf" TargetMode="External"/><Relationship Id="rIdblyndmk_r_n2btt758zwr" Type="http://schemas.openxmlformats.org/officeDocument/2006/relationships/hyperlink" Target="https://elcomercio.pe/lima/seguridad/lima-centro-duplico-la-cifra-de-denuncias-por-delitos-del-2021-noticia/" TargetMode="External"/><Relationship Id="rIdeosrmag-jxgxcato97yhy" Type="http://schemas.openxmlformats.org/officeDocument/2006/relationships/hyperlink" Target="https://repositorio.gobiernolocal.es/xmlui/bitstream/handle/10873/855/claves06_09_felson_clarke.pdf" TargetMode="External"/><Relationship Id="rIdrfkjuq0t1mv-ihctdk2le" Type="http://schemas.openxmlformats.org/officeDocument/2006/relationships/hyperlink" Target="https://icap.pe/images/2025/I%20Congreso%20Internacional%202025/CONCLUSIONES%20ICAP%20CONGRESO%20OO%20OK.pdf" TargetMode="External"/><Relationship Id="rIdsyrv_owjyyv2m-tevn5fj" Type="http://schemas.openxmlformats.org/officeDocument/2006/relationships/hyperlink" Target="https://criticaydebate.iep.org.pe/noticias/la-victimizacion-en-el-peru-puede-un-indicador-desviar-el-rumbo-de-la-politica-de-seguridad/" TargetMode="External"/><Relationship Id="rId0qkkx6tw-6cf81rdbuor2" Type="http://schemas.openxmlformats.org/officeDocument/2006/relationships/hyperlink" Target="https://www.infobae.com/america/peru/2022/06/22/gobierno-aprobo-la-politica-nacional-multisectorial-de-seguridad-ciudadana-al-2030/" TargetMode="External"/><Relationship Id="rId4ofxqjx39jske-48oq2je" Type="http://schemas.openxmlformats.org/officeDocument/2006/relationships/hyperlink" Target="https://www.infobae.com/peru/2024/07/15/el-mas-seguro-este-distrito-de-lima-registra-00-de-ocurrencia-de-delitos-en-tres-meses-segun-el-inei/" TargetMode="External"/><Relationship Id="rIdkob7d2byjygb8neh598ju" Type="http://schemas.openxmlformats.org/officeDocument/2006/relationships/hyperlink" Target="https://www.inei.gob.pe/media/MenuRecursivo/publicaciones_digitales/Est/Lib2013/index.html" TargetMode="External"/><Relationship Id="rIditlnizi68twpubtfel2e2" Type="http://schemas.openxmlformats.org/officeDocument/2006/relationships/hyperlink" Target="https://www.gob.pe/institucion/inei/informes-publicaciones/7938429-victimizacion-en-el-peru-2025" TargetMode="External"/><Relationship Id="rIdnx8uks6bt3d4uv7-wr3uf" Type="http://schemas.openxmlformats.org/officeDocument/2006/relationships/hyperlink" Target="https://www.inei.gob.pe/biblioteca-virtual/boletines/estadisticas-de-seguridad-ciudadana/1/" TargetMode="External"/><Relationship Id="rId_wgv1pjlytvyq5gckdefc" Type="http://schemas.openxmlformats.org/officeDocument/2006/relationships/hyperlink" Target="https://www.inei.gob.pe/media/MenuRecursivo/investigaciones/desigualdad-social-peru.pdf" TargetMode="External"/><Relationship Id="rId-yl9fqlrn9ezbr6sjwye-" Type="http://schemas.openxmlformats.org/officeDocument/2006/relationships/hyperlink" Target="https://journals.plos.org/plosone/article?id=10.1371/journal.pone.0176244" TargetMode="External"/><Relationship Id="rIdr1syjtmcab6ki67ltvvtg" Type="http://schemas.openxmlformats.org/officeDocument/2006/relationships/hyperlink" Target="https://larepublica.pe/sociedad/2024/07/12/cuales-son-los-dos-distritos-mas-peligros-de-lima-segun-el-inei-959520" TargetMode="External"/><Relationship Id="rIdwdrcn7x6vg23mqrjq2rcw" Type="http://schemas.openxmlformats.org/officeDocument/2006/relationships/hyperlink" Target="https://www.gob.pe/institucion/mininter/informes-publicaciones/3150919-politica-nacional-multisectorial-de-seguridad-ciudadana-al-2030" TargetMode="External"/><Relationship Id="rIdckdq3frc2cbxu5kbuqpoi" Type="http://schemas.openxmlformats.org/officeDocument/2006/relationships/hyperlink" Target="https://observatorio.mininter.gob.pe/sites/default/files/reporte/archivos/INDICADORESPARALAGESTION_LimaCentro.pdf" TargetMode="External"/><Relationship Id="rId2mp7i3ytmohigcj6vrtip" Type="http://schemas.openxmlformats.org/officeDocument/2006/relationships/hyperlink" Target="https://recide.caen.edu.pe/index.php/recide/article/view/173" TargetMode="External"/><Relationship Id="rIdavyxsz38kwsbejsyfgx3e" Type="http://schemas.openxmlformats.org/officeDocument/2006/relationships/hyperlink" Target="https://www.theatlantic.com/magazine/archive/1982/03/broken-windows/304465/"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2026-06-29T19:15:46.213Z</dcterms:created>
  <dcterms:modified xsi:type="dcterms:W3CDTF">2026-06-29T19:15:46.228Z</dcterms:modified>
</cp:coreProperties>
</file>

<file path=docProps/custom.xml><?xml version="1.0" encoding="utf-8"?>
<Properties xmlns="http://schemas.openxmlformats.org/officeDocument/2006/custom-properties" xmlns:vt="http://schemas.openxmlformats.org/officeDocument/2006/docPropsVTypes"/>
</file>