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A. Identificación del Problema</w:t>
      </w:r>
    </w:p>
    <w:p>
      <w:pPr>
        <w:pBdr>
          <w:bottom w:val="single" w:color="2563EB" w:sz="12" w:space="4"/>
        </w:pBdr>
        <w:spacing w:after="240"/>
      </w:pPr>
      <w:r>
        <w:rPr>
          <w:i/>
          <w:iCs/>
          <w:color w:val="555555"/>
          <w:sz w:val="20"/>
          <w:szCs w:val="20"/>
        </w:rPr>
        <w:t xml:space="preserve">Proyecto PreVe — Hackathon RedPública (PNUD)</w:t>
      </w:r>
    </w:p>
    <w:p>
      <w:pPr>
        <w:spacing w:after="160" w:line="276"/>
        <w:jc w:val="both"/>
      </w:pPr>
      <w:r>
        <w:t xml:space="preserve">La inseguridad ciudadana se ha consolidado como uno de los principales problemas estructurales del Perú. Según el Instituto Nacional de Estadística e Informática, durante el año 2024 el 27,1 % de la población de 15 y más años de edad del área urbana fue víctima de algún hecho delictivo que atentó contra su seguridad, porcentaje que se eleva al 30,1 % en Lima Metropolitana (INEI, 2024a).</w:t>
      </w:r>
    </w:p>
    <w:p>
      <w:pPr>
        <w:pBdr>
          <w:top w:val="single" w:color="2563EB" w:sz="6" w:space="6"/>
          <w:left w:val="single" w:color="2563EB" w:sz="18" w:space="8"/>
          <w:bottom w:val="single" w:color="2563EB" w:sz="6" w:space="6"/>
          <w:right w:val="single" w:color="2563EB" w:sz="6" w:space="6"/>
        </w:pBdr>
        <w:shd w:val="clear" w:color="auto" w:fill="EFF4FF"/>
        <w:spacing w:after="160" w:before="160"/>
      </w:pPr>
      <w:r>
        <w:rPr>
          <w:b/>
          <w:bCs/>
          <w:color w:val="2563EB"/>
          <w:sz w:val="20"/>
          <w:szCs w:val="20"/>
        </w:rPr>
        <w:t xml:space="preserve">📷 INSERTAR IMAGEN AQUÍ — </w:t>
      </w:r>
      <w:r>
        <w:rPr>
          <w:b/>
          <w:bCs/>
          <w:sz w:val="20"/>
          <w:szCs w:val="20"/>
        </w:rPr>
        <w:t xml:space="preserve">Histórico de victimización nacional 2014–2024</w:t>
      </w:r>
      <w:r>
        <w:br/>
        <w:t xml:space="preserve">
</w:t>
      </w:r>
      <w:r>
        <w:rPr>
          <w:i/>
          <w:iCs/>
          <w:color w:val="555555"/>
          <w:sz w:val="18"/>
          <w:szCs w:val="18"/>
        </w:rPr>
        <w:t xml:space="preserve">Captura el gráfico de barras de la tasa de victimización a nivel nacional que muestra la tendencia creciente. Capítulo 1, primeras páginas (aprox. pág. 10-12 del documento completo).</w:t>
      </w:r>
      <w:r>
        <w:br/>
        <w:t xml:space="preserve">
</w:t>
      </w:r>
      <w:r>
        <w:rPr>
          <w:color w:val="555555"/>
          <w:sz w:val="18"/>
          <w:szCs w:val="18"/>
        </w:rPr>
        <w:t xml:space="preserve">Fuente para capturar: </w:t>
      </w:r>
      <w:hyperlink w:history="1" r:id="rIdlbasvqqivvapz3ubnv5ge">
        <w:r>
          <w:rPr>
            <w:rStyle w:val="Hyperlink"/>
            <w:sz w:val="18"/>
            <w:szCs w:val="18"/>
          </w:rPr>
          <w:t xml:space="preserve">https://www.inei.gob.pe/media/MenuRecursivo/publicaciones_digitales/Est/Lib2013/cap01.pdf</w:t>
        </w:r>
      </w:hyperlink>
      <w:r>
        <w:br/>
        <w:t xml:space="preserve">
</w:t>
        <w:br/>
        <w:t xml:space="preserve">
</w:t>
      </w:r>
      <w:r>
        <w:rPr>
          <w:b/>
          <w:bCs/>
          <w:color w:val="B45309"/>
          <w:sz w:val="18"/>
          <w:szCs w:val="18"/>
        </w:rPr>
        <w:t xml:space="preserve">Referencia para pegar debajo de la imagen:</w:t>
      </w:r>
      <w:r>
        <w:br/>
        <w:t xml:space="preserve">
</w:t>
      </w:r>
      <w:r>
        <w:rPr>
          <w:i/>
          <w:iCs/>
          <w:sz w:val="18"/>
          <w:szCs w:val="18"/>
        </w:rPr>
        <w:t xml:space="preserve">Figura 1. </w:t>
      </w:r>
      <w:r>
        <w:rPr>
          <w:sz w:val="18"/>
          <w:szCs w:val="18"/>
        </w:rPr>
        <w:t xml:space="preserve">Población víctima de algún hecho delictivo a nivel nacional urbano, 2014–2024. Tomado de </w:t>
      </w:r>
      <w:r>
        <w:rPr>
          <w:i/>
          <w:iCs/>
          <w:sz w:val="18"/>
          <w:szCs w:val="18"/>
        </w:rPr>
        <w:t xml:space="preserve">Victimización en el Perú 2024 — Capítulo 1: Victimización</w:t>
      </w:r>
      <w:r>
        <w:rPr>
          <w:sz w:val="18"/>
          <w:szCs w:val="18"/>
        </w:rPr>
        <w:t xml:space="preserve"> (p. 10), por Instituto Nacional de Estadística e Informática [INEI], 2024.</w:t>
      </w:r>
    </w:p>
    <w:p>
      <w:pPr>
        <w:spacing w:after="160" w:line="276"/>
        <w:jc w:val="both"/>
      </w:pPr>
      <w:r>
        <w:t xml:space="preserve">Esta cifra confirma una tendencia ascendente sostenida: la tasa de victimización pasó de 18,2 % en 2021 a 27,1 % en 2024, retornando a los niveles previos a la pandemia de COVID-19 (CEPLAN, 2025). El crecimiento equivale a más de un millón de nuevas víctimas en pocos años, lo que evidencia que el problema, lejos de contenerse, se está agravando.</w:t>
      </w:r>
    </w:p>
    <w:p>
      <w:pPr>
        <w:pStyle w:val="Heading2"/>
      </w:pPr>
      <w:r>
        <w:t xml:space="preserve">El problema en Lima Metropolitana y Lima Centro</w:t>
      </w:r>
    </w:p>
    <w:p>
      <w:pPr>
        <w:spacing w:after="160" w:line="276"/>
        <w:jc w:val="both"/>
      </w:pPr>
      <w:r>
        <w:t xml:space="preserve">Lima Metropolitana concentra la mayor carga delictiva del país. En 2024, el 30,1 % de su población de 15 y más años fue víctima de algún delito, una de las cifras más altas a nivel nacional (INEI, 2024a). A ello se suma la dimensión subjetiva del problema: el 89,3 % de la población de Lima Metropolitana percibe que podría ser víctima de algún hecho delictivo en los próximos doce meses, y el 61,2 % siente inseguridad al caminar solo de noche por su zona o barrio (INEI, 2024b).</w:t>
      </w:r>
    </w:p>
    <w:p>
      <w:pPr>
        <w:pBdr>
          <w:top w:val="single" w:color="2563EB" w:sz="6" w:space="6"/>
          <w:left w:val="single" w:color="2563EB" w:sz="18" w:space="8"/>
          <w:bottom w:val="single" w:color="2563EB" w:sz="6" w:space="6"/>
          <w:right w:val="single" w:color="2563EB" w:sz="6" w:space="6"/>
        </w:pBdr>
        <w:shd w:val="clear" w:color="auto" w:fill="EFF4FF"/>
        <w:spacing w:after="160" w:before="160"/>
      </w:pPr>
      <w:r>
        <w:rPr>
          <w:b/>
          <w:bCs/>
          <w:color w:val="2563EB"/>
          <w:sz w:val="20"/>
          <w:szCs w:val="20"/>
        </w:rPr>
        <w:t xml:space="preserve">📷 INSERTAR IMAGEN AQUÍ — </w:t>
      </w:r>
      <w:r>
        <w:rPr>
          <w:b/>
          <w:bCs/>
          <w:sz w:val="20"/>
          <w:szCs w:val="20"/>
        </w:rPr>
        <w:t xml:space="preserve">Percepción de inseguridad en Lima Metropolitana</w:t>
      </w:r>
      <w:r>
        <w:br/>
        <w:t xml:space="preserve">
</w:t>
      </w:r>
      <w:r>
        <w:rPr>
          <w:i/>
          <w:iCs/>
          <w:color w:val="555555"/>
          <w:sz w:val="18"/>
          <w:szCs w:val="18"/>
        </w:rPr>
        <w:t xml:space="preserve">Captura la tabla o gráfico de percepción de inseguridad por departamento (donde figura Lima Metropolitana con 89,3 %). Capítulo 3, primeras páginas (aprox. pág. 46-48 del documento completo).</w:t>
      </w:r>
      <w:r>
        <w:br/>
        <w:t xml:space="preserve">
</w:t>
      </w:r>
      <w:r>
        <w:rPr>
          <w:color w:val="555555"/>
          <w:sz w:val="18"/>
          <w:szCs w:val="18"/>
        </w:rPr>
        <w:t xml:space="preserve">Fuente para capturar: </w:t>
      </w:r>
      <w:hyperlink w:history="1" r:id="rIdgzanpwlnnhawzsudm6mf2">
        <w:r>
          <w:rPr>
            <w:rStyle w:val="Hyperlink"/>
            <w:sz w:val="18"/>
            <w:szCs w:val="18"/>
          </w:rPr>
          <w:t xml:space="preserve">https://www.inei.gob.pe/media/MenuRecursivo/publicaciones_digitales/Est/Lib2013/cap03.pdf</w:t>
        </w:r>
      </w:hyperlink>
      <w:r>
        <w:br/>
        <w:t xml:space="preserve">
</w:t>
        <w:br/>
        <w:t xml:space="preserve">
</w:t>
      </w:r>
      <w:r>
        <w:rPr>
          <w:b/>
          <w:bCs/>
          <w:color w:val="B45309"/>
          <w:sz w:val="18"/>
          <w:szCs w:val="18"/>
        </w:rPr>
        <w:t xml:space="preserve">Referencia para pegar debajo de la imagen:</w:t>
      </w:r>
      <w:r>
        <w:br/>
        <w:t xml:space="preserve">
</w:t>
      </w:r>
      <w:r>
        <w:rPr>
          <w:i/>
          <w:iCs/>
          <w:sz w:val="18"/>
          <w:szCs w:val="18"/>
        </w:rPr>
        <w:t xml:space="preserve">Figura 2. </w:t>
      </w:r>
      <w:r>
        <w:rPr>
          <w:sz w:val="18"/>
          <w:szCs w:val="18"/>
        </w:rPr>
        <w:t xml:space="preserve">Percepción de inseguridad de la población según ámbito de estudio, 2024. Tomado de </w:t>
      </w:r>
      <w:r>
        <w:rPr>
          <w:i/>
          <w:iCs/>
          <w:sz w:val="18"/>
          <w:szCs w:val="18"/>
        </w:rPr>
        <w:t xml:space="preserve">Victimización en el Perú 2024 — Capítulo 3: Percepción de inseguridad</w:t>
      </w:r>
      <w:r>
        <w:rPr>
          <w:sz w:val="18"/>
          <w:szCs w:val="18"/>
        </w:rPr>
        <w:t xml:space="preserve"> (p. 46), por Instituto Nacional de Estadística e Informática [INEI], 2024.</w:t>
      </w:r>
    </w:p>
    <w:p>
      <w:pPr>
        <w:spacing w:after="160" w:line="276"/>
        <w:jc w:val="both"/>
      </w:pPr>
      <w:r>
        <w:t xml:space="preserve">El tipo de delito predominante es el patrimonial, directamente vinculado a nuestra propuesta. Históricamente, más del 70 % de los hechos delictivos en el país corresponden a robos o intentos de robo de dinero, cartera o celular (INEI, 2018). En el área urbana, el robo de dinero, cartera o celular afecta a aproximadamente 14 de cada 100 habitantes, siendo el delito más frecuente que enfrentan los ciudadanos en su vida cotidiana (INEI, 2020).</w:t>
      </w:r>
    </w:p>
    <w:p>
      <w:pPr>
        <w:pStyle w:val="Heading2"/>
      </w:pPr>
      <w:r>
        <w:t xml:space="preserve">El problema de fondo: el subregistro de delitos</w:t>
      </w:r>
    </w:p>
    <w:p>
      <w:pPr>
        <w:spacing w:after="160" w:line="276"/>
        <w:jc w:val="both"/>
      </w:pPr>
      <w:r>
        <w:t xml:space="preserve">Más allá de las cifras, existe un problema estructural que agrava la situación y que constituye el núcleo de nuestra intervención: </w:t>
      </w:r>
      <w:r>
        <w:rPr>
          <w:b/>
          <w:bCs/>
        </w:rPr>
        <w:t xml:space="preserve">la gran mayoría de delitos nunca se denuncia.</w:t>
      </w:r>
      <w:r>
        <w:t xml:space="preserve"> Según el INEI, en 2024 solo el 16,1 % de la población urbana víctima de un delito realizó la denuncia formal. Esto significa que cerca del 84 % de los hechos delictivos permanece invisible para las autoridades (INEI, 2024a).</w:t>
      </w:r>
    </w:p>
    <w:p>
      <w:pPr>
        <w:pBdr>
          <w:top w:val="single" w:color="2563EB" w:sz="6" w:space="6"/>
          <w:left w:val="single" w:color="2563EB" w:sz="18" w:space="8"/>
          <w:bottom w:val="single" w:color="2563EB" w:sz="6" w:space="6"/>
          <w:right w:val="single" w:color="2563EB" w:sz="6" w:space="6"/>
        </w:pBdr>
        <w:shd w:val="clear" w:color="auto" w:fill="EFF4FF"/>
        <w:spacing w:after="160" w:before="160"/>
      </w:pPr>
      <w:r>
        <w:rPr>
          <w:b/>
          <w:bCs/>
          <w:color w:val="2563EB"/>
          <w:sz w:val="20"/>
          <w:szCs w:val="20"/>
        </w:rPr>
        <w:t xml:space="preserve">📷 INSERTAR IMAGEN AQUÍ — </w:t>
      </w:r>
      <w:r>
        <w:rPr>
          <w:b/>
          <w:bCs/>
          <w:sz w:val="20"/>
          <w:szCs w:val="20"/>
        </w:rPr>
        <w:t xml:space="preserve">Denuncia/no denuncia y motivos de no denuncia (2024)</w:t>
      </w:r>
      <w:r>
        <w:br/>
        <w:t xml:space="preserve">
</w:t>
      </w:r>
      <w:r>
        <w:rPr>
          <w:i/>
          <w:iCs/>
          <w:color w:val="555555"/>
          <w:sz w:val="18"/>
          <w:szCs w:val="18"/>
        </w:rPr>
        <w:t xml:space="preserve">Captura el gráfico de población que denunció (16,1 %) y la tabla de motivos de no denuncia (“es una pérdida de tiempo” 42,6 %). Está en la parte final del Capítulo 1 (sección de denuncias), aprox. págs. 30-40 del documento completo.</w:t>
      </w:r>
      <w:r>
        <w:br/>
        <w:t xml:space="preserve">
</w:t>
      </w:r>
      <w:r>
        <w:rPr>
          <w:color w:val="555555"/>
          <w:sz w:val="18"/>
          <w:szCs w:val="18"/>
        </w:rPr>
        <w:t xml:space="preserve">Fuente para capturar: </w:t>
      </w:r>
      <w:hyperlink w:history="1" r:id="rIduuwleoos31odz2v7ezkln">
        <w:r>
          <w:rPr>
            <w:rStyle w:val="Hyperlink"/>
            <w:sz w:val="18"/>
            <w:szCs w:val="18"/>
          </w:rPr>
          <w:t xml:space="preserve">https://www.inei.gob.pe/media/MenuRecursivo/publicaciones_digitales/Est/Lib2013/cap01.pdf</w:t>
        </w:r>
      </w:hyperlink>
      <w:r>
        <w:br/>
        <w:t xml:space="preserve">
</w:t>
        <w:br/>
        <w:t xml:space="preserve">
</w:t>
      </w:r>
      <w:r>
        <w:rPr>
          <w:b/>
          <w:bCs/>
          <w:color w:val="B45309"/>
          <w:sz w:val="18"/>
          <w:szCs w:val="18"/>
        </w:rPr>
        <w:t xml:space="preserve">Referencia para pegar debajo de la imagen:</w:t>
      </w:r>
      <w:r>
        <w:br/>
        <w:t xml:space="preserve">
</w:t>
      </w:r>
      <w:r>
        <w:rPr>
          <w:i/>
          <w:iCs/>
          <w:sz w:val="18"/>
          <w:szCs w:val="18"/>
        </w:rPr>
        <w:t xml:space="preserve">Figura 3. </w:t>
      </w:r>
      <w:r>
        <w:rPr>
          <w:sz w:val="18"/>
          <w:szCs w:val="18"/>
        </w:rPr>
        <w:t xml:space="preserve">Población víctima que denunció el hecho delictivo y motivos de no denuncia, 2024. Tomado de </w:t>
      </w:r>
      <w:r>
        <w:rPr>
          <w:i/>
          <w:iCs/>
          <w:sz w:val="18"/>
          <w:szCs w:val="18"/>
        </w:rPr>
        <w:t xml:space="preserve">Victimización en el Perú 2024 — Capítulo 1: Victimización</w:t>
      </w:r>
      <w:r>
        <w:rPr>
          <w:sz w:val="18"/>
          <w:szCs w:val="18"/>
        </w:rPr>
        <w:t xml:space="preserve"> (p. 33), por Instituto Nacional de Estadística e Informática [INEI], 2024.</w:t>
      </w:r>
    </w:p>
    <w:p>
      <w:pPr>
        <w:spacing w:after="160" w:line="276"/>
        <w:jc w:val="both"/>
      </w:pPr>
      <w:r>
        <w:t xml:space="preserve">Las razones de esta baja denuncia son reveladoras. Entre los principales motivos, la población señala que denunciar </w:t>
      </w:r>
      <w:r>
        <w:rPr>
          <w:i/>
          <w:iCs/>
        </w:rPr>
        <w:t xml:space="preserve">“es una pérdida de tiempo”</w:t>
      </w:r>
      <w:r>
        <w:t xml:space="preserve"> (42,6 %) y que desconoce al delincuente (21,5 %), siendo el miedo a represalias del agresor el motivo menos frecuente (5,5 %) (INEI, 2024a). Estos motivos apuntan a una causa común: </w:t>
      </w:r>
      <w:r>
        <w:rPr>
          <w:b/>
          <w:bCs/>
        </w:rPr>
        <w:t xml:space="preserve">las barreras de acceso y la fricción del proceso de denuncia formal.</w:t>
      </w:r>
    </w:p>
    <w:p>
      <w:pPr>
        <w:spacing w:after="160" w:line="276"/>
        <w:jc w:val="both"/>
      </w:pPr>
      <w:r>
        <w:t xml:space="preserve">Este subregistro genera un círculo vicioso: sin datos completos, las autoridades no pueden identificar patrones ni zonas de riesgo con precisión; sin esa información, no se diseñan medidas preventivas oportunas; y sin prevención, los delitos continúan ocurriendo sin que la comunidad pueda anticiparse a ellos. A esta situación se añade que, según el CEPLAN, la persistencia de la inseguridad en el Perú se atribuye en parte a la falta de datos actualizados e interoperables provenientes de las instituciones del sistema de seguridad (CEPLAN, 2025).</w:t>
      </w:r>
    </w:p>
    <w:p>
      <w:pPr>
        <w:pStyle w:val="Heading2"/>
      </w:pPr>
      <w:r>
        <w:t xml:space="preserve">La brecha que da origen a PreVe</w:t>
      </w:r>
    </w:p>
    <w:p>
      <w:pPr>
        <w:spacing w:after="160" w:line="276"/>
        <w:jc w:val="both"/>
      </w:pPr>
      <w:r>
        <w:t xml:space="preserve">En síntesis, el problema que identificamos no es únicamente la alta incidencia delictiva en Lima Centro, sino la </w:t>
      </w:r>
      <w:r>
        <w:rPr>
          <w:b/>
          <w:bCs/>
        </w:rPr>
        <w:t xml:space="preserve">ausencia de un canal accesible, rápido y centralizado que permita a los ciudadanos reportar incidentes en tiempo real y transformar esa información en inteligencia preventiva para la comunidad.</w:t>
      </w:r>
      <w:r>
        <w:t xml:space="preserve"> Mientras la denuncia formal siga siendo percibida como lenta e inútil, el subregistro se mantendrá y las zonas de riesgo seguirán siendo invisibles. Cerrar esa brecha —reduciendo la fricción del reporte y devolviendo la información a la comunidad como alerta temprana— es precisamente el objetivo de nuestra propuesta.</w:t>
      </w:r>
    </w:p>
    <w:p>
      <w:pPr>
        <w:pStyle w:val="Heading2"/>
      </w:pPr>
      <w:r>
        <w:t xml:space="preserve">Referencias (APA 7.ª edición)</w:t>
      </w:r>
    </w:p>
    <w:p>
      <w:pPr>
        <w:spacing w:after="120" w:line="264"/>
        <w:ind w:left="720" w:hanging="720"/>
      </w:pPr>
      <w:r>
        <w:rPr>
          <w:sz w:val="20"/>
          <w:szCs w:val="20"/>
        </w:rPr>
        <w:t xml:space="preserve">Centro Nacional de Planeamiento Estratégico [CEPLAN]. (2025). </w:t>
      </w:r>
      <w:r>
        <w:rPr>
          <w:i/>
          <w:iCs/>
          <w:sz w:val="20"/>
          <w:szCs w:val="20"/>
        </w:rPr>
        <w:t xml:space="preserve">Persistencia de la inseguridad ciudadana</w:t>
      </w:r>
      <w:r>
        <w:rPr>
          <w:sz w:val="20"/>
          <w:szCs w:val="20"/>
        </w:rPr>
        <w:t xml:space="preserve">. Observatorio Nacional de Prospectiva. </w:t>
      </w:r>
      <w:hyperlink w:history="1" r:id="rIdwm_wztliebqsluzw0z6uv">
        <w:r>
          <w:rPr>
            <w:rStyle w:val="Hyperlink"/>
            <w:sz w:val="20"/>
            <w:szCs w:val="20"/>
          </w:rPr>
          <w:t xml:space="preserve">https://observatorio.ceplan.gob.pe/ficha/t26</w:t>
        </w:r>
      </w:hyperlink>
    </w:p>
    <w:p>
      <w:pPr>
        <w:spacing w:after="120" w:line="264"/>
        <w:ind w:left="720" w:hanging="720"/>
      </w:pPr>
      <w:r>
        <w:rPr>
          <w:sz w:val="20"/>
          <w:szCs w:val="20"/>
        </w:rPr>
        <w:t xml:space="preserve">Instituto Nacional de Estadística e Informática [INEI]. (2018). </w:t>
      </w:r>
      <w:r>
        <w:rPr>
          <w:i/>
          <w:iCs/>
          <w:sz w:val="20"/>
          <w:szCs w:val="20"/>
        </w:rPr>
        <w:t xml:space="preserve">INEI presentó el Sistema Integrado de Estadísticas de la Criminalidad y Seguridad Ciudadana</w:t>
      </w:r>
      <w:r>
        <w:rPr>
          <w:sz w:val="20"/>
          <w:szCs w:val="20"/>
        </w:rPr>
        <w:t xml:space="preserve"> [Nota de prensa]. </w:t>
      </w:r>
      <w:hyperlink w:history="1" r:id="rId_f5an5rtjqcxmc3qawmow">
        <w:r>
          <w:rPr>
            <w:rStyle w:val="Hyperlink"/>
            <w:sz w:val="20"/>
            <w:szCs w:val="20"/>
          </w:rPr>
          <w:t xml:space="preserve">https://m.inei.gob.pe/prensa/noticias/inei-presento-el-sistema-integrado-de-estadisticas-de-la-criminalidad-y-seguridad-ciudadana-11090/</w:t>
        </w:r>
      </w:hyperlink>
    </w:p>
    <w:p>
      <w:pPr>
        <w:spacing w:after="120" w:line="264"/>
        <w:ind w:left="720" w:hanging="720"/>
      </w:pPr>
      <w:r>
        <w:rPr>
          <w:sz w:val="20"/>
          <w:szCs w:val="20"/>
        </w:rPr>
        <w:t xml:space="preserve">Instituto Nacional de Estadística e Informática [INEI]. (2020). </w:t>
      </w:r>
      <w:r>
        <w:rPr>
          <w:i/>
          <w:iCs/>
          <w:sz w:val="20"/>
          <w:szCs w:val="20"/>
        </w:rPr>
        <w:t xml:space="preserve">El 27,2 % de la población de 15 y más años de edad fue víctima de algún hecho delictivo en el semestre agosto 2019-enero 2020</w:t>
      </w:r>
      <w:r>
        <w:rPr>
          <w:sz w:val="20"/>
          <w:szCs w:val="20"/>
        </w:rPr>
        <w:t xml:space="preserve"> [Nota de prensa]. </w:t>
      </w:r>
      <w:hyperlink w:history="1" r:id="rIdombd5rsomgcgqppvcfcer">
        <w:r>
          <w:rPr>
            <w:rStyle w:val="Hyperlink"/>
            <w:sz w:val="20"/>
            <w:szCs w:val="20"/>
          </w:rPr>
          <w:t xml:space="preserve">https://m.inei.gob.pe/prensa/noticias/el-272-de-la-poblacion-de-15-y-mas-anos-de-edad-fue-victima-de-algun-hecho-delictivo-en-el-semestre-agosto-2019-enero-2020-12102/</w:t>
        </w:r>
      </w:hyperlink>
    </w:p>
    <w:p>
      <w:pPr>
        <w:spacing w:after="120" w:line="264"/>
        <w:ind w:left="720" w:hanging="720"/>
      </w:pPr>
      <w:r>
        <w:rPr>
          <w:sz w:val="20"/>
          <w:szCs w:val="20"/>
        </w:rPr>
        <w:t xml:space="preserve">Instituto Nacional de Estadística e Informática [INEI]. (2024a). </w:t>
      </w:r>
      <w:r>
        <w:rPr>
          <w:i/>
          <w:iCs/>
          <w:sz w:val="20"/>
          <w:szCs w:val="20"/>
        </w:rPr>
        <w:t xml:space="preserve">Victimización en el Perú 2024 — Capítulo 1: Victimización</w:t>
      </w:r>
      <w:r>
        <w:rPr>
          <w:sz w:val="20"/>
          <w:szCs w:val="20"/>
        </w:rPr>
        <w:t xml:space="preserve">. </w:t>
      </w:r>
      <w:hyperlink w:history="1" r:id="rId4_lzqprs-irwxp2viwjod">
        <w:r>
          <w:rPr>
            <w:rStyle w:val="Hyperlink"/>
            <w:sz w:val="20"/>
            <w:szCs w:val="20"/>
          </w:rPr>
          <w:t xml:space="preserve">https://www.inei.gob.pe/media/MenuRecursivo/publicaciones_digitales/Est/Lib2013/cap01.pdf</w:t>
        </w:r>
      </w:hyperlink>
    </w:p>
    <w:p>
      <w:pPr>
        <w:spacing w:after="120" w:line="264"/>
        <w:ind w:left="720" w:hanging="720"/>
      </w:pPr>
      <w:r>
        <w:rPr>
          <w:sz w:val="20"/>
          <w:szCs w:val="20"/>
        </w:rPr>
        <w:t xml:space="preserve">Instituto Nacional de Estadística e Informática [INEI]. (2024b). </w:t>
      </w:r>
      <w:r>
        <w:rPr>
          <w:i/>
          <w:iCs/>
          <w:sz w:val="20"/>
          <w:szCs w:val="20"/>
        </w:rPr>
        <w:t xml:space="preserve">Victimización en el Perú 2024 — Capítulo 3: Percepción de inseguridad</w:t>
      </w:r>
      <w:r>
        <w:rPr>
          <w:sz w:val="20"/>
          <w:szCs w:val="20"/>
        </w:rPr>
        <w:t xml:space="preserve">. </w:t>
      </w:r>
      <w:hyperlink w:history="1" r:id="rIdvris2n1ctzgtjywmcvi4z">
        <w:r>
          <w:rPr>
            <w:rStyle w:val="Hyperlink"/>
            <w:sz w:val="20"/>
            <w:szCs w:val="20"/>
          </w:rPr>
          <w:t xml:space="preserve">https://www.inei.gob.pe/media/MenuRecursivo/publicaciones_digitales/Est/Lib2013/cap03.pdf</w:t>
        </w:r>
      </w:hyperlink>
    </w:p>
    <w:p>
      <w:pPr>
        <w:spacing w:after="120" w:before="240" w:line="276"/>
        <w:jc w:val="both"/>
      </w:pPr>
      <w:r>
        <w:rPr>
          <w:sz w:val="22"/>
          <w:szCs w:val="22"/>
        </w:rPr>
        <w:t xml:space="preserve">Para un análisis más amplio y a profundidad del problema identificado, ver el archivo adjunto </w:t>
      </w:r>
      <w:r>
        <w:rPr>
          <w:b/>
          <w:bCs/>
          <w:i/>
          <w:iCs/>
          <w:sz w:val="22"/>
          <w:szCs w:val="22"/>
        </w:rPr>
        <w:t xml:space="preserve">Anexo — Análisis detallado del problema</w:t>
      </w:r>
      <w:r>
        <w:rPr>
          <w:sz w:val="22"/>
          <w:szCs w:val="22"/>
        </w:rPr>
        <w:t xml:space="preserve">.</w:t>
      </w:r>
    </w:p>
    <w:p>
      <w:pPr>
        <w:pBdr>
          <w:top w:val="single" w:color="F59E0B" w:sz="6" w:space="6"/>
          <w:left w:val="single" w:color="F59E0B" w:sz="18" w:space="8"/>
          <w:bottom w:val="single" w:color="F59E0B" w:sz="6" w:space="6"/>
          <w:right w:val="single" w:color="F59E0B" w:sz="6" w:space="6"/>
        </w:pBdr>
        <w:shd w:val="clear" w:color="auto" w:fill="FFF8E1"/>
        <w:spacing w:before="240"/>
      </w:pPr>
      <w:r>
        <w:rPr>
          <w:b/>
          <w:bCs/>
          <w:sz w:val="19"/>
          <w:szCs w:val="19"/>
        </w:rPr>
        <w:t xml:space="preserve">Nota para el equipo: </w:t>
      </w:r>
      <w:r>
        <w:rPr>
          <w:i/>
          <w:iCs/>
          <w:sz w:val="19"/>
          <w:szCs w:val="19"/>
        </w:rPr>
        <w:t xml:space="preserve">Cada recuadro azul indica dónde pegar una imagen. Abre el link, ubica el gráfico o tabla descrito, toma una captura de pantalla y reemplaza el recuadro por la imagen. Recuerda colocar debajo de cada imagen una leyenda tipo “Figura 1. [descripción]. Tomado de INEI (2024).”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563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basvqqivvapz3ubnv5ge" Type="http://schemas.openxmlformats.org/officeDocument/2006/relationships/hyperlink" Target="https://www.inei.gob.pe/media/MenuRecursivo/publicaciones_digitales/Est/Lib2013/cap01.pdf" TargetMode="External"/><Relationship Id="rIdgzanpwlnnhawzsudm6mf2" Type="http://schemas.openxmlformats.org/officeDocument/2006/relationships/hyperlink" Target="https://www.inei.gob.pe/media/MenuRecursivo/publicaciones_digitales/Est/Lib2013/cap03.pdf" TargetMode="External"/><Relationship Id="rIduuwleoos31odz2v7ezkln" Type="http://schemas.openxmlformats.org/officeDocument/2006/relationships/hyperlink" Target="https://www.inei.gob.pe/media/MenuRecursivo/publicaciones_digitales/Est/Lib2013/cap01.pdf" TargetMode="External"/><Relationship Id="rIdwm_wztliebqsluzw0z6uv" Type="http://schemas.openxmlformats.org/officeDocument/2006/relationships/hyperlink" Target="https://observatorio.ceplan.gob.pe/ficha/t26" TargetMode="External"/><Relationship Id="rId_f5an5rtjqcxmc3qawmow" Type="http://schemas.openxmlformats.org/officeDocument/2006/relationships/hyperlink" Target="https://m.inei.gob.pe/prensa/noticias/inei-presento-el-sistema-integrado-de-estadisticas-de-la-criminalidad-y-seguridad-ciudadana-11090/" TargetMode="External"/><Relationship Id="rIdombd5rsomgcgqppvcfcer" Type="http://schemas.openxmlformats.org/officeDocument/2006/relationships/hyperlink" Target="https://m.inei.gob.pe/prensa/noticias/el-272-de-la-poblacion-de-15-y-mas-anos-de-edad-fue-victima-de-algun-hecho-delictivo-en-el-semestre-agosto-2019-enero-2020-12102/" TargetMode="External"/><Relationship Id="rId4_lzqprs-irwxp2viwjod" Type="http://schemas.openxmlformats.org/officeDocument/2006/relationships/hyperlink" Target="https://www.inei.gob.pe/media/MenuRecursivo/publicaciones_digitales/Est/Lib2013/cap01.pdf" TargetMode="External"/><Relationship Id="rIdvris2n1ctzgtjywmcvi4z" Type="http://schemas.openxmlformats.org/officeDocument/2006/relationships/hyperlink" Target="https://www.inei.gob.pe/media/MenuRecursivo/publicaciones_digitales/Est/Lib2013/cap03.pdf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2026-06-27T13:48:48.938Z</dcterms:created>
  <dcterms:modified xsi:type="dcterms:W3CDTF">2026-06-27T13:48:48.938Z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