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estrutura uma avaliação de impacto. Reconstruímos a teoria da mudança, separando entrada, financiamento e entrega, e auditamos cinco premissas com os anexos oficiais de 2022 a 2026 e o Mapa Cultural. Duas premissas não são asseguradas pelo desenho: a habilitação qualifica sem priorizar, e o excesso de demanda é racionado pela ordem de recebimento e validação dos termos de patrocínio. Em 2023 e 2024, termos equivalentes a 28% e 35% do montante foram recusados; em 2025, a cota de 50% se completou com termos recebidos até 28 de janeiro. A premissa de que as empresas escolhem pelo interesse público é contestada: duas empresas respondem por metade da renúncia de 2025, mas a escolha não mostra viés territorial forte. A entrada e a entrega são indeterminadas, porque a SECULT não publica os inscritos nem o público alcançado. Propomos três perguntas de avaliação (a adicionalidade do financiamento, o efeito do atrito na entrada e o papel da avaliação da SECULT), com parâmetros, vieses, estratégias candidatas, fontes de dados e poder estatístico. A adicionalidade é a mais difícil: mais da metade dos projetos recusados por falta de teto captou no ano seguinte.</w:t>
      </w:r>
    </w:p>
    <w:p>
      <w:pPr>
        <w:pStyle w:val="BodyText"/>
      </w:pPr>
      <w:r>
        <w:rPr>
          <w:b/>
          <w:bCs/>
        </w:rPr>
        <w:t xml:space="preserve">Palavras-chave:</w:t>
      </w:r>
      <w:r>
        <w:t xml:space="preserve"> </w:t>
      </w:r>
      <w:r>
        <w:t xml:space="preserve">incentivo fiscal à cultura; gasto tributário; teoria da mudança; funil de atrito; avaliação de impacto.</w:t>
      </w:r>
    </w:p>
    <w:bookmarkStart w:id="12" w:name="introdução"/>
    <w:p>
      <w:pPr>
        <w:pStyle w:val="Heading1"/>
      </w:pPr>
      <w:r>
        <w:t xml:space="preserve">1 Introdução</w:t>
      </w:r>
    </w:p>
    <w:p>
      <w:pPr>
        <w:pStyle w:val="FirstParagraph"/>
      </w:pPr>
      <w:r>
        <w:t xml:space="preserve">A Lei estadual nº 11.246/2021 incluiu na lei do ICMS um crédito presumido igual ao valor que o contribuinte destina a projetos culturais credenciados pela Secretaria da Cultura (SECULT), com efeitos a partir de 2022 (ESPÍRITO SANTO, 2021a). A Lei de Incentivo à Cultura Capixaba, como o mecanismo passou a ser chamado no regulamento (ESPÍRITO SANTO, 2021b), cresceu depressa: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a captação esgotou o montante de cada ano ao centavo; em 2025, 63 projetos captaram, juntos, exatamente R$ 25.000.000,00.</w:t>
      </w:r>
      <w:r>
        <w:rPr>
          <w:rStyle w:val="FootnoteReference"/>
        </w:rPr>
        <w:footnoteReference w:id="10"/>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que não passa pelo lado da despesa do orçamento: a renúncia efetiva equivale a 14% a 21% do gasto estadual direto na função cultura em 2022-2025 (SECULT, 2026c; BRASIL, 2026a). Segundo, quem decide o destino do recurso é a empresa patrocinadora, e não o Estado, o que torna a política exposta às críticas de concentração e de lógica de marketing feitas à Lei Rouanet (SILVA, 2017; DEKKER; RODRIGUES, 2019). Terceiro, a política é nova e muda de regra a cada ano; resultados de pesquisa sobre ela foram apresentados pela SECULT no evento Cultura em Dados, em 2026 (SECULT, 2026d), e este artigo não teve acesso a eles.</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reconstrói a teoria da mudança e audita suas premissas com os dados administrativos; a seção 5 transforma as premissas em perguntas de avaliação de impacto;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2024b; 2025b). Em 2023 e 2024, a comissão habilitava o projeto e abria um prazo de captação de um ano, prorrogável uma vez; o projeto que terminasse o prazo sem compromissos de ao menos 50% do valor aprovado era arquivado (SECULT, 2023a; 2024a, arts. 32-36). Em 2025 a ordem se inverteu: o projeto só vai à comissão com termos de patrocínio de ao menos 35% do valor (SECULT, 2025a, arts. 41-45) ou, desde maio, com carta de intenção de patrocínio apresentada em 120 dias, sob pena de arquivamento (SECULT, 2025b). A terceira é a</w:t>
      </w:r>
      <w:r>
        <w:t xml:space="preserve"> </w:t>
      </w:r>
      <w:r>
        <w:rPr>
          <w:b/>
          <w:bCs/>
        </w:rPr>
        <w:t xml:space="preserve">pouca informação publicada</w:t>
      </w:r>
      <w:r>
        <w:t xml:space="preserve">: os anexos não trazem o CNPJ do proponente, a sede, os inscritos não habilitados nem qualquer indicador de resultado.</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Brooks (2004) mostra que, nos Estados Unidos, a renúncia supera muitas vezes o apoio federal direto às artes e serve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 Sem custo, não há efeito-preço sobre o patrocínio, e restam duas margens a avaliar: a troca de fonte (da Rouanet ou da verba de marketing para o ICMS) e o efeito sobre o projeto.</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w:t>
      </w:r>
    </w:p>
    <w:p>
      <w:pPr>
        <w:pStyle w:val="BodyText"/>
      </w:pPr>
      <w:r>
        <w:rPr>
          <w:b/>
          <w:bCs/>
        </w:rPr>
        <w:t xml:space="preserve">Evidência causal.</w:t>
      </w:r>
      <w:r>
        <w:t xml:space="preserve"> </w:t>
      </w:r>
      <w:r>
        <w:t xml:space="preserve">Não localizamos avaliação causal de incentivo cultural no Brasil; as avaliações localizadas de leis estaduais via ICMS são descritivas: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Fora da cultura, Colombo e Cruz (2023) avaliam outro gasto tributário, a Lei do Bem, com pareamento e diferenças em diferenças: há efeito sobre o gasto em P&amp;D, o pessoal de pesquisa e o emprego, mas não sobre os resultados de inovação. No exterior, o análogo mais próximo em instrumento são os créditos estaduais ao audiovisual nos Estados Unidos, cujas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a Capital Europeia da Cultura elevou em 4,5% o PIB per capita das regiões das cidades-sede (GOMES; LIBRERO-CANO, 2018). Entre recurso público e privado, os resultados vão de leve</w:t>
      </w:r>
      <w:r>
        <w:t xml:space="preserve"> </w:t>
      </w:r>
      <w:r>
        <w:rPr>
          <w:i/>
          <w:iCs/>
        </w:rPr>
        <w:t xml:space="preserve">crowding-in</w:t>
      </w:r>
      <w:r>
        <w:t xml:space="preserve"> </w:t>
      </w:r>
      <w:r>
        <w:t xml:space="preserve">à independência (BORGONOVI; O’HARE, 2004). Para a LICC, que financia produções dispersas, os efeitos plausíveis são proximais e pequenos.</w:t>
      </w:r>
    </w:p>
    <w:bookmarkEnd w:id="14"/>
    <w:bookmarkStart w:id="20" w:name="desenho-da-política-e-sua-avaliação"/>
    <w:p>
      <w:pPr>
        <w:pStyle w:val="Heading1"/>
      </w:pPr>
      <w:r>
        <w:t xml:space="preserve">4 Desenho da política e sua avaliação</w:t>
      </w:r>
    </w:p>
    <w:bookmarkStart w:id="18" w:name="teoria-da-mudança"/>
    <w:p>
      <w:pPr>
        <w:pStyle w:val="Heading2"/>
      </w:pPr>
      <w:r>
        <w:t xml:space="preserve">4.1 Teoria da mudança</w:t>
      </w:r>
    </w:p>
    <w:p>
      <w:pPr>
        <w:pStyle w:val="FirstParagraph"/>
      </w:pPr>
      <w:r>
        <w:t xml:space="preserve">Como a LICC não explicita sua lógica, reconstruímos a teoria da mudança (Figura 1) pelos cinco passos do J-PAL usados na disciplina: propósito, cadeia causal, premissas e riscos, hipótese causal e indicadores. Na cadeia de resultados de Gertler</w:t>
      </w:r>
      <w:r>
        <w:t xml:space="preserve"> </w:t>
      </w:r>
      <w:r>
        <w:rPr>
          <w:i/>
          <w:iCs/>
        </w:rPr>
        <w:t xml:space="preserve">et al.</w:t>
      </w:r>
      <w:r>
        <w:t xml:space="preserve"> </w:t>
      </w:r>
      <w:r>
        <w:t xml:space="preserve">(2018), os produtos estão sob controle da agência que implementa. Na LICC, o produto</w:t>
      </w:r>
      <w:r>
        <w:t xml:space="preserve"> </w:t>
      </w:r>
      <w:r>
        <w:t xml:space="preserve">“projeto patrocinado”</w:t>
      </w:r>
      <w:r>
        <w:t xml:space="preserve"> </w:t>
      </w:r>
      <w:r>
        <w:t xml:space="preserve">depende de um terceiro ator, a empresa, que decide quem recebe. Por isso a Figura 1 separa três cadeias, como recomendam White e Raitzer (2017): a entrada (inscrição e habilitação), o financiamento (escolha da empresa e validação até o teto) e a entrega, e indica quem decide em cada elo.</w:t>
      </w:r>
    </w:p>
    <w:p>
      <w:pPr>
        <w:pStyle w:val="BodyText"/>
      </w:pPr>
      <w:r>
        <w:t xml:space="preserve">A hipótese causal, no gabarito do J-PAL, é:</w:t>
      </w:r>
      <w:r>
        <w:t xml:space="preserve"> </w:t>
      </w:r>
      <w:r>
        <w:rPr>
          <w:i/>
          <w:iCs/>
        </w:rPr>
        <w:t xml:space="preserve">se</w:t>
      </w:r>
      <w:r>
        <w:t xml:space="preserve"> </w:t>
      </w:r>
      <w:r>
        <w:t xml:space="preserve">a SECULT abre a inscrição e habilita projetos culturais, e empresas contribuintes patrocinam parte deles com o ICMS que pagariam,</w:t>
      </w:r>
      <w:r>
        <w:t xml:space="preserve"> </w:t>
      </w:r>
      <w:r>
        <w:rPr>
          <w:i/>
          <w:iCs/>
        </w:rPr>
        <w:t xml:space="preserve">então</w:t>
      </w:r>
      <w:r>
        <w:t xml:space="preserve"> </w:t>
      </w:r>
      <w:r>
        <w:t xml:space="preserve">se forma um cardápio de projetos habilitados e um conjunto de projetos patrocinados e executados,</w:t>
      </w:r>
      <w:r>
        <w:t xml:space="preserve"> </w:t>
      </w:r>
      <w:r>
        <w:rPr>
          <w:i/>
          <w:iCs/>
        </w:rPr>
        <w:t xml:space="preserve">o que deveria levar</w:t>
      </w:r>
      <w:r>
        <w:t xml:space="preserve"> </w:t>
      </w:r>
      <w:r>
        <w:t xml:space="preserve">a mais bens culturais de acesso público, executados por proponentes mais diversos e mais capazes,</w:t>
      </w:r>
      <w:r>
        <w:t xml:space="preserve"> </w:t>
      </w:r>
      <w:r>
        <w:rPr>
          <w:i/>
          <w:iCs/>
        </w:rPr>
        <w:t xml:space="preserve">que ao final melhorarão</w:t>
      </w:r>
      <w:r>
        <w:t xml:space="preserve"> </w:t>
      </w:r>
      <w:r>
        <w:t xml:space="preserve">o acesso da população à cultura e reduzirão sua desigualdade territorial,</w:t>
      </w:r>
      <w:r>
        <w:t xml:space="preserve"> </w:t>
      </w:r>
      <w:r>
        <w:rPr>
          <w:i/>
          <w:iCs/>
        </w:rPr>
        <w:t xml:space="preserve">contribuindo para</w:t>
      </w:r>
      <w:r>
        <w:t xml:space="preserve"> </w:t>
      </w:r>
      <w:r>
        <w:t xml:space="preserve">ampliar e desconcentrar a capacidade de financiar a cultura no estado.</w:t>
      </w:r>
    </w:p>
    <w:p>
      <w:pPr>
        <w:pStyle w:val="BodyText"/>
      </w:pPr>
      <w:r>
        <w:t xml:space="preserve">Cada seta da cadeia carrega uma premissa, uma condição que precisa valer para que um passo leve ao seguinte (MAYNE, 2015). Tratamos cinco delas como hipóteses a testar, marcadas nos elos da Figura 1 e auditadas no Quadro 2: o atrito na entrada (H3), a habilitação que qualifica sem priorizar (H2a), a escolha da empresa (H1a), o racionamento no teto (H2b) e a adicionalidade (H1b). H2a e H2b descrevem como o desenho seleciona; H1a e H3 são explicações concorrentes para quem fica de fora; H1b pergunta se o que é financiado é adicional.</w:t>
      </w:r>
    </w:p>
    <w:p>
      <w:pPr>
        <w:pStyle w:val="BodyText"/>
        <w:keepNext/>
      </w:pPr>
      <w:r>
        <w:rPr>
          <w:b/>
          <w:bCs/>
        </w:rPr>
        <w:t xml:space="preserve">Figura 1 – Teoria da mudança da LICC, com as premissas testadas</w:t>
      </w:r>
    </w:p>
    <w:p>
      <w:pPr>
        <w:pStyle w:val="BodyText"/>
      </w:pPr>
      <w:r>
        <w:drawing>
          <wp:inline>
            <wp:extent cx="5334000" cy="7222066"/>
            <wp:effectExtent b="0" l="0" r="0" t="0"/>
            <wp:docPr descr="" title="" id="16" name="Picture"/>
            <a:graphic>
              <a:graphicData uri="http://schemas.openxmlformats.org/drawingml/2006/picture">
                <pic:pic>
                  <pic:nvPicPr>
                    <pic:cNvPr descr="../analise/figuras/08_teoria_da_mudanca.png" id="17" name="Picture"/>
                    <pic:cNvPicPr>
                      <a:picLocks noChangeArrowheads="1" noChangeAspect="1"/>
                    </pic:cNvPicPr>
                  </pic:nvPicPr>
                  <pic:blipFill>
                    <a:blip r:embed="rId15"/>
                    <a:stretch>
                      <a:fillRect/>
                    </a:stretch>
                  </pic:blipFill>
                  <pic:spPr bwMode="auto">
                    <a:xfrm>
                      <a:off x="0" y="0"/>
                      <a:ext cx="5334000" cy="7222066"/>
                    </a:xfrm>
                    <a:prstGeom prst="rect">
                      <a:avLst/>
                    </a:prstGeom>
                    <a:noFill/>
                    <a:ln w="9525">
                      <a:noFill/>
                      <a:headEnd/>
                      <a:tailEnd/>
                    </a:ln>
                  </pic:spPr>
                </pic:pic>
              </a:graphicData>
            </a:graphic>
          </wp:inline>
        </w:drawing>
      </w:r>
    </w:p>
    <w:p>
      <w:pPr>
        <w:pStyle w:val="BodyText"/>
      </w:pPr>
      <w:r>
        <w:rPr>
          <w:sz w:val="20"/>
        </w:rPr>
        <w:t xml:space="preserve">Fonte: elaboração própria, no formato de cadeia de resultados do J-PAL usado por Gertler</w:t>
      </w:r>
      <w:r>
        <w:rPr>
          <w:sz w:val="20"/>
        </w:rPr>
        <w:t xml:space="preserve"> </w:t>
      </w:r>
      <w:r>
        <w:rPr>
          <w:i/>
          <w:iCs/>
          <w:sz w:val="20"/>
        </w:rPr>
        <w:t xml:space="preserve">et al.</w:t>
      </w:r>
      <w:r>
        <w:rPr>
          <w:sz w:val="20"/>
        </w:rPr>
        <w:t xml:space="preserve"> </w:t>
      </w:r>
      <w:r>
        <w:rPr>
          <w:sz w:val="20"/>
        </w:rPr>
        <w:t xml:space="preserve">(2018), com base nas normas do Quadro 1. Setas tracejadas indicam elos sem dado público.</w:t>
      </w:r>
    </w:p>
    <w:bookmarkEnd w:id="18"/>
    <w:bookmarkStart w:id="19" w:name="avaliação-do-desenho"/>
    <w:p>
      <w:pPr>
        <w:pStyle w:val="Heading2"/>
      </w:pPr>
      <w:r>
        <w:t xml:space="preserve">4.2 Avaliação do desenho</w:t>
      </w:r>
    </w:p>
    <w:p>
      <w:pPr>
        <w:pStyle w:val="FirstParagraph"/>
      </w:pPr>
      <w:r>
        <w:t xml:space="preserve">Aplicamos as perguntas de avaliação de desenho do material da disciplina: o problema está formulado? os objetivos são mensuráveis? cada elo tem premissa crível e indicador? quanto se perde ao longo da cadeia? Pelo mecanismo de mapeamento de Williams (2020), a premissa de cada elo é confrontada com o contexto real e classificada como sustentada, não assegurada pelo desenho, contestada ou indeterminada (Quadro 2).</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O art. 3º lista onze finalidades de</w:t>
      </w:r>
      <w:r>
        <w:t xml:space="preserve"> </w:t>
      </w:r>
      <w:r>
        <w:t xml:space="preserve">“interesse público”</w:t>
      </w:r>
      <w:r>
        <w:t xml:space="preserve">, das quais o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Isso falha o critério de que programas declarem os resultados e a magnitude da contribuição esperada (BARROS; LIMA, 2017) e o padrão de governança de renúncias do TCU (BRASIL, 2014).</w:t>
      </w:r>
    </w:p>
    <w:p>
      <w:pPr>
        <w:pStyle w:val="BodyText"/>
      </w:pPr>
      <w:r>
        <w:rPr>
          <w:b/>
          <w:bCs/>
        </w:rPr>
        <w:t xml:space="preserve">Funil de atrito.</w:t>
      </w:r>
      <w:r>
        <w:t xml:space="preserve"> </w:t>
      </w:r>
      <w:r>
        <w:t xml:space="preserve">O funil mede, elo a elo, quantos beneficiários potenciais chegam ao fim da cadeia (WHITE; RAITZER, 2017). A Tabela 1 mostra que ele se estreita justamente onde não há dado: antes da habilitação e depois da execução. Entre os 25.441 agentes cadastrados no Mapa Cultural e os cerca de 100 proponentes habilitados por ciclo, não se sabe quantos se inscreveram nem quantos foram inabilitados. Nas etapas observadas, a maioria passa: 68% dos habilitados de 2022-2024 com situação resolvida captaram.</w:t>
      </w:r>
    </w:p>
    <w:p>
      <w:pPr>
        <w:pStyle w:val="BodyText"/>
        <w:keepNext/>
      </w:pPr>
      <w:r>
        <w:rPr>
          <w:b/>
          <w:bCs/>
        </w:rPr>
        <w:t xml:space="preserve">Tabela 1 – Funil de atrito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4054"/>
        <w:gridCol w:w="2545"/>
        <w:gridCol w:w="1320"/>
      </w:tblGrid>
      <w:tr>
        <w:trPr>
          <w:tblHeader w:val="on"/>
          <w:tblHeader w:val="true"/>
        </w:trPr>
        <w:tc>
          <w:tcPr/>
          <w:p>
            <w:pPr>
              <w:pStyle w:val="Compact"/>
              <w:keepNext/>
              <w:spacing w:after="0" w:before="0"/>
              <w:jc w:val="left"/>
            </w:pPr>
            <w:r>
              <w:rPr>
                <w:b/>
                <w:sz w:val="20"/>
              </w:rPr>
              <w:t xml:space="preserve">Etapa</w:t>
            </w:r>
          </w:p>
        </w:tc>
        <w:tc>
          <w:tcPr/>
          <w:p>
            <w:pPr>
              <w:pStyle w:val="Compact"/>
              <w:keepNext/>
              <w:spacing w:after="0" w:before="0"/>
              <w:jc w:val="left"/>
            </w:pPr>
            <w:r>
              <w:rPr>
                <w:b/>
                <w:sz w:val="20"/>
              </w:rPr>
              <w:t xml:space="preserve">Valor</w:t>
            </w:r>
          </w:p>
        </w:tc>
        <w:tc>
          <w:tcPr/>
          <w:p>
            <w:pPr>
              <w:pStyle w:val="Compact"/>
              <w:keepNext/>
              <w:spacing w:after="0" w:before="0"/>
              <w:jc w:val="left"/>
            </w:pPr>
            <w:r>
              <w:rPr>
                <w:b/>
                <w:sz w:val="20"/>
              </w:rPr>
              <w:t xml:space="preserve">Período</w:t>
            </w:r>
          </w:p>
        </w:tc>
      </w:tr>
      <w:tr>
        <w:tc>
          <w:tcPr/>
          <w:p>
            <w:pPr>
              <w:pStyle w:val="Compact"/>
              <w:keepNext/>
              <w:spacing w:after="0" w:before="0"/>
              <w:jc w:val="left"/>
            </w:pPr>
            <w:r>
              <w:rPr>
                <w:sz w:val="20"/>
              </w:rPr>
              <w:t xml:space="preserve">Agentes culturais cadastrados no Mapa Cultural (coletivos)</w:t>
            </w:r>
          </w:p>
        </w:tc>
        <w:tc>
          <w:tcPr/>
          <w:p>
            <w:pPr>
              <w:pStyle w:val="Compact"/>
              <w:keepNext/>
              <w:spacing w:after="0" w:before="0"/>
              <w:jc w:val="left"/>
            </w:pPr>
            <w:r>
              <w:rPr>
                <w:sz w:val="20"/>
              </w:rPr>
              <w:t xml:space="preserve">25.441 (2.592)</w:t>
            </w:r>
          </w:p>
        </w:tc>
        <w:tc>
          <w:tcPr/>
          <w:p>
            <w:pPr>
              <w:pStyle w:val="Compact"/>
              <w:keepNext/>
              <w:spacing w:after="0" w:before="0"/>
              <w:jc w:val="left"/>
            </w:pPr>
            <w:r>
              <w:rPr>
                <w:sz w:val="20"/>
              </w:rPr>
              <w:t xml:space="preserve">set. 2026</w:t>
            </w:r>
          </w:p>
        </w:tc>
      </w:tr>
      <w:tr>
        <w:tc>
          <w:tcPr/>
          <w:p>
            <w:pPr>
              <w:pStyle w:val="Compact"/>
              <w:keepNext/>
              <w:spacing w:after="0" w:before="0"/>
              <w:jc w:val="left"/>
            </w:pPr>
            <w:r>
              <w:rPr>
                <w:sz w:val="20"/>
              </w:rPr>
              <w:t xml:space="preserve">Projetos inscritos</w:t>
            </w:r>
          </w:p>
        </w:tc>
        <w:tc>
          <w:tcPr/>
          <w:p>
            <w:pPr>
              <w:pStyle w:val="Compact"/>
              <w:keepNext/>
              <w:spacing w:after="0" w:before="0"/>
              <w:jc w:val="left"/>
            </w:pPr>
            <w:r>
              <w:rPr>
                <w:sz w:val="20"/>
              </w:rPr>
              <w:t xml:space="preserve">não publicado</w:t>
            </w:r>
          </w:p>
        </w:tc>
        <w:tc>
          <w:tcPr/>
          <w:p>
            <w:pPr>
              <w:pStyle w:val="Compact"/>
              <w:keepNext/>
              <w:spacing w:after="0" w:before="0"/>
              <w:jc w:val="left"/>
            </w:pPr>
            <w:r>
              <w:rPr>
                <w:sz w:val="20"/>
              </w:rPr>
              <w:t xml:space="preserve">—</w:t>
            </w:r>
          </w:p>
        </w:tc>
      </w:tr>
      <w:tr>
        <w:tc>
          <w:tcPr/>
          <w:p>
            <w:pPr>
              <w:pStyle w:val="Compact"/>
              <w:keepNext/>
              <w:spacing w:after="0" w:before="0"/>
              <w:jc w:val="left"/>
            </w:pPr>
            <w:r>
              <w:rPr>
                <w:sz w:val="20"/>
              </w:rPr>
              <w:t xml:space="preserve">Projetos habilitados; proponentes por ciclo</w:t>
            </w:r>
          </w:p>
        </w:tc>
        <w:tc>
          <w:tcPr/>
          <w:p>
            <w:pPr>
              <w:pStyle w:val="Compact"/>
              <w:keepNext/>
              <w:spacing w:after="0" w:before="0"/>
              <w:jc w:val="left"/>
            </w:pPr>
            <w:r>
              <w:rPr>
                <w:sz w:val="20"/>
              </w:rPr>
              <w:t xml:space="preserve">305; 53, 92 e 95</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Habilitados com situação resolvida; captaram</w:t>
            </w:r>
          </w:p>
        </w:tc>
        <w:tc>
          <w:tcPr/>
          <w:p>
            <w:pPr>
              <w:pStyle w:val="Compact"/>
              <w:keepNext/>
              <w:spacing w:after="0" w:before="0"/>
              <w:jc w:val="left"/>
            </w:pPr>
            <w:r>
              <w:rPr>
                <w:sz w:val="20"/>
              </w:rPr>
              <w:t xml:space="preserve">293; 198</w:t>
            </w:r>
          </w:p>
        </w:tc>
        <w:tc>
          <w:tcPr/>
          <w:p>
            <w:pPr>
              <w:pStyle w:val="Compact"/>
              <w:keepNext/>
              <w:spacing w:after="0" w:before="0"/>
              <w:jc w:val="left"/>
            </w:pPr>
            <w:r>
              <w:rPr>
                <w:sz w:val="20"/>
              </w:rPr>
              <w:t xml:space="preserve">ciclos 2022-2024</w:t>
            </w:r>
          </w:p>
        </w:tc>
      </w:tr>
      <w:tr>
        <w:tc>
          <w:tcPr/>
          <w:p>
            <w:pPr>
              <w:pStyle w:val="Compact"/>
              <w:keepNext/>
              <w:spacing w:after="0" w:before="0"/>
              <w:jc w:val="left"/>
            </w:pPr>
            <w:r>
              <w:rPr>
                <w:sz w:val="20"/>
              </w:rPr>
              <w:t xml:space="preserve">Taxa de captação entre os resolvidos</w:t>
            </w:r>
          </w:p>
        </w:tc>
        <w:tc>
          <w:tcPr/>
          <w:p>
            <w:pPr>
              <w:pStyle w:val="Compact"/>
              <w:keepNext/>
              <w:spacing w:after="0" w:before="0"/>
              <w:jc w:val="left"/>
            </w:pPr>
            <w:r>
              <w:rPr>
                <w:sz w:val="20"/>
              </w:rPr>
              <w:t xml:space="preserve">84%; 70%; 55%</w:t>
            </w:r>
          </w:p>
        </w:tc>
        <w:tc>
          <w:tcPr/>
          <w:p>
            <w:pPr>
              <w:pStyle w:val="Compact"/>
              <w:keepNext/>
              <w:spacing w:after="0" w:before="0"/>
              <w:jc w:val="left"/>
            </w:pPr>
            <w:r>
              <w:rPr>
                <w:sz w:val="20"/>
              </w:rPr>
              <w:t xml:space="preserve">ciclos 2022; 2023; 2024</w:t>
            </w:r>
          </w:p>
        </w:tc>
      </w:tr>
      <w:tr>
        <w:tc>
          <w:tcPr/>
          <w:p>
            <w:pPr>
              <w:pStyle w:val="Compact"/>
              <w:keepNext/>
              <w:spacing w:after="0" w:before="0"/>
              <w:jc w:val="left"/>
            </w:pPr>
            <w:r>
              <w:rPr>
                <w:sz w:val="20"/>
              </w:rPr>
              <w:t xml:space="preserve">Valor com patrocinador que coube no teto</w:t>
            </w:r>
          </w:p>
        </w:tc>
        <w:tc>
          <w:tcPr/>
          <w:p>
            <w:pPr>
              <w:pStyle w:val="Compact"/>
              <w:keepNext/>
              <w:spacing w:after="0" w:before="0"/>
              <w:jc w:val="left"/>
            </w:pPr>
            <w:r>
              <w:rPr>
                <w:sz w:val="20"/>
              </w:rPr>
              <w:t xml:space="preserve">78%; 74%</w:t>
            </w:r>
          </w:p>
        </w:tc>
        <w:tc>
          <w:tcPr/>
          <w:p>
            <w:pPr>
              <w:pStyle w:val="Compact"/>
              <w:keepNext/>
              <w:spacing w:after="0" w:before="0"/>
              <w:jc w:val="left"/>
            </w:pPr>
            <w:r>
              <w:rPr>
                <w:sz w:val="20"/>
              </w:rPr>
              <w:t xml:space="preserve">captação 2023; 2024</w:t>
            </w:r>
          </w:p>
        </w:tc>
      </w:tr>
      <w:tr>
        <w:tc>
          <w:tcPr/>
          <w:p>
            <w:pPr>
              <w:pStyle w:val="Compact"/>
              <w:spacing w:after="0" w:before="0"/>
              <w:jc w:val="left"/>
            </w:pPr>
            <w:r>
              <w:rPr>
                <w:sz w:val="20"/>
              </w:rPr>
              <w:t xml:space="preserve">Público alcançado e gratuidade</w:t>
            </w:r>
          </w:p>
        </w:tc>
        <w:tc>
          <w:tcPr/>
          <w:p>
            <w:pPr>
              <w:pStyle w:val="Compact"/>
              <w:spacing w:after="0" w:before="0"/>
              <w:jc w:val="left"/>
            </w:pPr>
            <w:r>
              <w:rPr>
                <w:sz w:val="20"/>
              </w:rPr>
              <w:t xml:space="preserve">não publicado</w:t>
            </w:r>
          </w:p>
        </w:tc>
        <w:tc>
          <w:tcPr/>
          <w:p>
            <w:pPr>
              <w:pStyle w:val="Compact"/>
              <w:spacing w:after="0" w:before="0"/>
              <w:jc w:val="left"/>
            </w:pPr>
            <w:r>
              <w:rPr>
                <w:sz w:val="20"/>
              </w:rPr>
              <w:t xml:space="preserve">—</w:t>
            </w:r>
          </w:p>
        </w:tc>
      </w:tr>
    </w:tbl>
    <w:p>
      <w:pPr>
        <w:pStyle w:val="BodyText"/>
      </w:pPr>
      <w:r>
        <w:rPr>
          <w:sz w:val="20"/>
        </w:rPr>
        <w:t xml:space="preserve">Fonte: elaboração própria com base em SECULT (2026b; 2026c) e na API pública do Mapa Cultural do Espírito Santo (SECULT, 2026e). Tabelas de origem:</w:t>
      </w:r>
      <w:r>
        <w:rPr>
          <w:sz w:val="20"/>
        </w:rPr>
        <w:t xml:space="preserve"> </w:t>
      </w:r>
      <w:r>
        <w:rPr>
          <w:rStyle w:val="VerbatimChar"/>
          <w:sz w:val="20"/>
        </w:rPr>
        <w:t xml:space="preserve">analise/tabelas/07_funil_por_ciclo.csv</w:t>
      </w:r>
      <w:r>
        <w:rPr>
          <w:sz w:val="20"/>
        </w:rPr>
        <w:t xml:space="preserve">,</w:t>
      </w:r>
      <w:r>
        <w:rPr>
          <w:sz w:val="20"/>
        </w:rPr>
        <w:t xml:space="preserve"> </w:t>
      </w:r>
      <w:r>
        <w:rPr>
          <w:rStyle w:val="VerbatimChar"/>
          <w:sz w:val="20"/>
        </w:rPr>
        <w:t xml:space="preserve">07_funil_captacao_anual.csv</w:t>
      </w:r>
      <w:r>
        <w:rPr>
          <w:sz w:val="20"/>
        </w:rPr>
        <w:t xml:space="preserve"> </w:t>
      </w:r>
      <w:r>
        <w:rPr>
          <w:sz w:val="20"/>
        </w:rPr>
        <w:t xml:space="preserve">e</w:t>
      </w:r>
      <w:r>
        <w:rPr>
          <w:sz w:val="20"/>
        </w:rPr>
        <w:t xml:space="preserve"> </w:t>
      </w:r>
      <w:r>
        <w:rPr>
          <w:rStyle w:val="VerbatimChar"/>
          <w:sz w:val="20"/>
        </w:rPr>
        <w:t xml:space="preserve">07_mapa_cultural_universo.csv</w:t>
      </w:r>
      <w:r>
        <w:rPr>
          <w:sz w:val="20"/>
        </w:rPr>
        <w:t xml:space="preserve">.</w:t>
      </w:r>
    </w:p>
    <w:p>
      <w:pPr>
        <w:pStyle w:val="BodyText"/>
        <w:keepNext/>
      </w:pPr>
      <w:r>
        <w:rPr>
          <w:b/>
          <w:bCs/>
        </w:rPr>
        <w:t xml:space="preserve">Quadro 2 – Auditoria das premissas da teoria da mudança</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1"/>
        <w:gridCol w:w="2329"/>
        <w:gridCol w:w="3354"/>
        <w:gridCol w:w="1304"/>
      </w:tblGrid>
      <w:tr>
        <w:trPr>
          <w:tblHeader w:val="on"/>
          <w:tblHeader w:val="true"/>
        </w:trPr>
        <w:tc>
          <w:tcPr/>
          <w:p>
            <w:pPr>
              <w:pStyle w:val="Compact"/>
              <w:spacing w:after="0" w:before="0"/>
              <w:jc w:val="left"/>
            </w:pPr>
            <w:r>
              <w:rPr>
                <w:b/>
                <w:sz w:val="20"/>
              </w:rPr>
              <w:t xml:space="preserve">Elo</w:t>
            </w:r>
          </w:p>
        </w:tc>
        <w:tc>
          <w:tcPr/>
          <w:p>
            <w:pPr>
              <w:pStyle w:val="Compact"/>
              <w:spacing w:after="0" w:before="0"/>
              <w:jc w:val="left"/>
            </w:pPr>
            <w:r>
              <w:rPr>
                <w:b/>
                <w:sz w:val="20"/>
              </w:rPr>
              <w:t xml:space="preserve">Premissa</w:t>
            </w:r>
          </w:p>
        </w:tc>
        <w:tc>
          <w:tcPr/>
          <w:p>
            <w:pPr>
              <w:pStyle w:val="Compact"/>
              <w:spacing w:after="0" w:before="0"/>
              <w:jc w:val="left"/>
            </w:pPr>
            <w:r>
              <w:rPr>
                <w:b/>
                <w:sz w:val="20"/>
              </w:rPr>
              <w:t xml:space="preserve">Contexto real</w:t>
            </w:r>
          </w:p>
        </w:tc>
        <w:tc>
          <w:tcPr/>
          <w:p>
            <w:pPr>
              <w:pStyle w:val="Compact"/>
              <w:spacing w:after="0" w:before="0"/>
              <w:jc w:val="left"/>
            </w:pPr>
            <w:r>
              <w:rPr>
                <w:b/>
                <w:sz w:val="20"/>
              </w:rPr>
              <w:t xml:space="preserve">Situação</w:t>
            </w:r>
          </w:p>
        </w:tc>
      </w:tr>
      <w:tr>
        <w:tc>
          <w:tcPr/>
          <w:p>
            <w:pPr>
              <w:pStyle w:val="Compact"/>
              <w:spacing w:after="0" w:before="0"/>
              <w:jc w:val="left"/>
            </w:pPr>
            <w:r>
              <w:rPr>
                <w:sz w:val="20"/>
              </w:rPr>
              <w:t xml:space="preserve">Entrada (H3)</w:t>
            </w:r>
          </w:p>
        </w:tc>
        <w:tc>
          <w:tcPr/>
          <w:p>
            <w:pPr>
              <w:pStyle w:val="Compact"/>
              <w:spacing w:after="0" w:before="0"/>
              <w:jc w:val="left"/>
            </w:pPr>
            <w:r>
              <w:rPr>
                <w:sz w:val="20"/>
              </w:rPr>
              <w:t xml:space="preserve">Quem tem projeto de valor público consegue se inscrever</w:t>
            </w:r>
          </w:p>
        </w:tc>
        <w:tc>
          <w:tcPr/>
          <w:p>
            <w:pPr>
              <w:pStyle w:val="Compact"/>
              <w:spacing w:after="0" w:before="0"/>
              <w:jc w:val="left"/>
            </w:pPr>
            <w:r>
              <w:rPr>
                <w:sz w:val="20"/>
              </w:rPr>
              <w:t xml:space="preserve">A inscrição exige CNPJ com finalidade cultural, sede em nome próprio e certidão estadual. 14 municípios do interior nunca tiveram projeto habilitado. Estreantes: 56 no ciclo 2024, 26 em 2025, 40 em 2026</w:t>
            </w:r>
          </w:p>
        </w:tc>
        <w:tc>
          <w:tcPr/>
          <w:p>
            <w:pPr>
              <w:pStyle w:val="Compact"/>
              <w:spacing w:after="0" w:before="0"/>
              <w:jc w:val="left"/>
            </w:pPr>
            <w:r>
              <w:rPr>
                <w:sz w:val="20"/>
              </w:rPr>
              <w:t xml:space="preserve">Indeterminado: sem inscritos</w:t>
            </w:r>
          </w:p>
        </w:tc>
      </w:tr>
      <w:tr>
        <w:tc>
          <w:tcPr/>
          <w:p>
            <w:pPr>
              <w:pStyle w:val="Compact"/>
              <w:spacing w:after="0" w:before="0"/>
              <w:jc w:val="left"/>
            </w:pPr>
            <w:r>
              <w:rPr>
                <w:sz w:val="20"/>
              </w:rPr>
              <w:t xml:space="preserve">Habilitação (H2a)</w:t>
            </w:r>
          </w:p>
        </w:tc>
        <w:tc>
          <w:tcPr/>
          <w:p>
            <w:pPr>
              <w:pStyle w:val="Compact"/>
              <w:spacing w:after="0" w:before="0"/>
              <w:jc w:val="left"/>
            </w:pPr>
            <w:r>
              <w:rPr>
                <w:sz w:val="20"/>
              </w:rPr>
              <w:t xml:space="preserve">O mérito avaliado pela SECULT orienta quem é financiado</w:t>
            </w:r>
          </w:p>
        </w:tc>
        <w:tc>
          <w:tcPr/>
          <w:p>
            <w:pPr>
              <w:pStyle w:val="Compact"/>
              <w:spacing w:after="0" w:before="0"/>
              <w:jc w:val="left"/>
            </w:pPr>
            <w:r>
              <w:rPr>
                <w:sz w:val="20"/>
              </w:rPr>
              <w:t xml:space="preserve">O parecer indica, por critério, se o projeto atende ou não, e a CAP decide só habilitar ou não, em fluxo contínuo; não há nota nem ordem de prioridade</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Escolha (H1a)</w:t>
            </w:r>
          </w:p>
        </w:tc>
        <w:tc>
          <w:tcPr/>
          <w:p>
            <w:pPr>
              <w:pStyle w:val="Compact"/>
              <w:spacing w:after="0" w:before="0"/>
              <w:jc w:val="left"/>
            </w:pPr>
            <w:r>
              <w:rPr>
                <w:sz w:val="20"/>
              </w:rPr>
              <w:t xml:space="preserve">A empresa escolhe pelo interesse público, também fora do circuito consolidado</w:t>
            </w:r>
          </w:p>
        </w:tc>
        <w:tc>
          <w:tcPr/>
          <w:p>
            <w:pPr>
              <w:pStyle w:val="Compact"/>
              <w:spacing w:after="0" w:before="0"/>
              <w:jc w:val="left"/>
            </w:pPr>
            <w:r>
              <w:rPr>
                <w:sz w:val="20"/>
              </w:rPr>
              <w:t xml:space="preserve">Duas empresas somam metade da renúncia de 2025; energia e gás, 52%. Captação de 68% dos habilitados na RMGV e 63% no interior. Recorrentes captam mais (71% contra 57%)</w:t>
            </w:r>
          </w:p>
        </w:tc>
        <w:tc>
          <w:tcPr/>
          <w:p>
            <w:pPr>
              <w:pStyle w:val="Compact"/>
              <w:spacing w:after="0" w:before="0"/>
              <w:jc w:val="left"/>
            </w:pPr>
            <w:r>
              <w:rPr>
                <w:sz w:val="20"/>
              </w:rPr>
              <w:t xml:space="preserve">Contestada</w:t>
            </w:r>
          </w:p>
        </w:tc>
      </w:tr>
      <w:tr>
        <w:tc>
          <w:tcPr/>
          <w:p>
            <w:pPr>
              <w:pStyle w:val="Compact"/>
              <w:spacing w:after="0" w:before="0"/>
              <w:jc w:val="left"/>
            </w:pPr>
            <w:r>
              <w:rPr>
                <w:sz w:val="20"/>
              </w:rPr>
              <w:t xml:space="preserve">Validação (H2b)</w:t>
            </w:r>
          </w:p>
        </w:tc>
        <w:tc>
          <w:tcPr/>
          <w:p>
            <w:pPr>
              <w:pStyle w:val="Compact"/>
              <w:spacing w:after="0" w:before="0"/>
              <w:jc w:val="left"/>
            </w:pPr>
            <w:r>
              <w:rPr>
                <w:sz w:val="20"/>
              </w:rPr>
              <w:t xml:space="preserve">O racionamento no teto segue critério público</w:t>
            </w:r>
          </w:p>
        </w:tc>
        <w:tc>
          <w:tcPr/>
          <w:p>
            <w:pPr>
              <w:pStyle w:val="Compact"/>
              <w:spacing w:after="0" w:before="0"/>
              <w:jc w:val="left"/>
            </w:pPr>
            <w:r>
              <w:rPr>
                <w:sz w:val="20"/>
              </w:rPr>
              <w:t xml:space="preserve">Termos com patrocinador de 28% e 35% do montante recusados em 2023 e 2024; em 2025, a cota de 50% se completou com termos recebidos até 28/01. Nenhuma norma fixa a ordem</w:t>
            </w:r>
          </w:p>
        </w:tc>
        <w:tc>
          <w:tcPr/>
          <w:p>
            <w:pPr>
              <w:pStyle w:val="Compact"/>
              <w:spacing w:after="0" w:before="0"/>
              <w:jc w:val="left"/>
            </w:pPr>
            <w:r>
              <w:rPr>
                <w:sz w:val="20"/>
              </w:rPr>
              <w:t xml:space="preserve">Não assegurada pelo desenho</w:t>
            </w:r>
          </w:p>
        </w:tc>
      </w:tr>
      <w:tr>
        <w:tc>
          <w:tcPr/>
          <w:p>
            <w:pPr>
              <w:pStyle w:val="Compact"/>
              <w:spacing w:after="0" w:before="0"/>
              <w:jc w:val="left"/>
            </w:pPr>
            <w:r>
              <w:rPr>
                <w:sz w:val="20"/>
              </w:rPr>
              <w:t xml:space="preserve">Entrega (H1b)</w:t>
            </w:r>
          </w:p>
        </w:tc>
        <w:tc>
          <w:tcPr/>
          <w:p>
            <w:pPr>
              <w:pStyle w:val="Compact"/>
              <w:spacing w:after="0" w:before="0"/>
              <w:jc w:val="left"/>
            </w:pPr>
            <w:r>
              <w:rPr>
                <w:sz w:val="20"/>
              </w:rPr>
              <w:t xml:space="preserve">O projeto financiado não aconteceria sem a LICC e chega ao público</w:t>
            </w:r>
          </w:p>
        </w:tc>
        <w:tc>
          <w:tcPr/>
          <w:p>
            <w:pPr>
              <w:pStyle w:val="Compact"/>
              <w:spacing w:after="0" w:before="0"/>
              <w:jc w:val="left"/>
            </w:pPr>
            <w:r>
              <w:rPr>
                <w:sz w:val="20"/>
              </w:rPr>
              <w:t xml:space="preserve">A maior reserva do teto (30%) vai a eventos com mais de dez anos. Não há dado de público nem de gratuidade</w:t>
            </w:r>
          </w:p>
        </w:tc>
        <w:tc>
          <w:tcPr/>
          <w:p>
            <w:pPr>
              <w:pStyle w:val="Compact"/>
              <w:spacing w:after="0" w:before="0"/>
              <w:jc w:val="left"/>
            </w:pPr>
            <w:r>
              <w:rPr>
                <w:sz w:val="20"/>
              </w:rPr>
              <w:t xml:space="preserve">Indeterminado: sem dado</w:t>
            </w:r>
          </w:p>
        </w:tc>
      </w:tr>
    </w:tbl>
    <w:p>
      <w:pPr>
        <w:pStyle w:val="BodyText"/>
      </w:pPr>
      <w:r>
        <w:rPr>
          <w:sz w:val="20"/>
        </w:rPr>
        <w:t xml:space="preserve">Fonte: elaboração própria, no formato do mecanismo de mapeamento de Williams (2020), com base nas normas do Quadro 1, em SECULT (2026b; 2026c) e nas tabelas</w:t>
      </w:r>
      <w:r>
        <w:rPr>
          <w:sz w:val="20"/>
        </w:rPr>
        <w:t xml:space="preserve"> </w:t>
      </w:r>
      <w:r>
        <w:rPr>
          <w:rStyle w:val="VerbatimChar"/>
          <w:sz w:val="20"/>
        </w:rPr>
        <w:t xml:space="preserve">03_*.csv</w:t>
      </w:r>
      <w:r>
        <w:rPr>
          <w:sz w:val="20"/>
        </w:rPr>
        <w:t xml:space="preserve"> </w:t>
      </w:r>
      <w:r>
        <w:rPr>
          <w:sz w:val="20"/>
        </w:rPr>
        <w:t xml:space="preserve">e</w:t>
      </w:r>
      <w:r>
        <w:rPr>
          <w:sz w:val="20"/>
        </w:rPr>
        <w:t xml:space="preserve"> </w:t>
      </w:r>
      <w:r>
        <w:rPr>
          <w:rStyle w:val="VerbatimChar"/>
          <w:sz w:val="20"/>
        </w:rPr>
        <w:t xml:space="preserve">07_*.csv</w:t>
      </w:r>
      <w:r>
        <w:rPr>
          <w:sz w:val="20"/>
        </w:rPr>
        <w:t xml:space="preserve"> </w:t>
      </w:r>
      <w:r>
        <w:rPr>
          <w:sz w:val="20"/>
        </w:rPr>
        <w:t xml:space="preserve">de</w:t>
      </w:r>
      <w:r>
        <w:rPr>
          <w:sz w:val="20"/>
        </w:rPr>
        <w:t xml:space="preserve"> </w:t>
      </w:r>
      <w:r>
        <w:rPr>
          <w:rStyle w:val="VerbatimChar"/>
          <w:sz w:val="20"/>
        </w:rPr>
        <w:t xml:space="preserve">analise/tabelas/</w:t>
      </w:r>
      <w:r>
        <w:rPr>
          <w:sz w:val="20"/>
        </w:rPr>
        <w:t xml:space="preserve">.</w:t>
      </w:r>
    </w:p>
    <w:p>
      <w:pPr>
        <w:pStyle w:val="BodyText"/>
      </w:pPr>
      <w:r>
        <w:rPr>
          <w:b/>
          <w:bCs/>
        </w:rPr>
        <w:t xml:space="preserve">Entrada.</w:t>
      </w:r>
      <w:r>
        <w:t xml:space="preserve"> </w:t>
      </w:r>
      <w:r>
        <w:t xml:space="preserve">Pessoa física não se inscreve e o microempreendedor individual tem limite de valor (SECULT, 2025a, arts. 17 e 19). Em 2024 as inscrições foram fechadas no meio do ano por esgotamento do teto (SECULT, 2024b), e desde 2025 o proponente precisa conseguir o patrocinador antes da comissão. No mesmo período, a parcela de proponentes estreantes (não habilitados nos dois ciclos anteriores) caiu de 59% no ciclo 2024 para 46% em 2025 e voltou a 55% em 2026, ciclo ainda aberto. A difusão territorial desacelerou: 39 municípios tiveram o primeiro projeto habilitado em 2022, 16 em 2023 e 3 por ciclo desde então, e restam 14 municípios do interior sem projeto. Nada disso isola o atrito, porque teto, janelas e regras mudaram ao mesmo tempo. O custo de entrada é o que a literatura chama de custo administrativo (MOYNIHAN; HERD; HARVEY, 2015). Ele pode excluir sem selecionar ou funcionar como triagem (FINKELSTEIN; NOTOWIDIGDO, 2019), e só uma variação exógena desse custo distingue os dois casos.</w:t>
      </w:r>
    </w:p>
    <w:p>
      <w:pPr>
        <w:pStyle w:val="BodyText"/>
      </w:pPr>
      <w:r>
        <w:rPr>
          <w:b/>
          <w:bCs/>
        </w:rPr>
        <w:t xml:space="preserve">Habilitação e validação.</w:t>
      </w:r>
      <w:r>
        <w:t xml:space="preserve"> </w:t>
      </w:r>
      <w:r>
        <w:t xml:space="preserve">O parecer</w:t>
      </w:r>
      <w:r>
        <w:t xml:space="preserve"> </w:t>
      </w:r>
      <w:r>
        <w:t xml:space="preserve">“deverá indicar a habilitação ou inabilitação”</w:t>
      </w:r>
      <w:r>
        <w:t xml:space="preserve"> </w:t>
      </w:r>
      <w:r>
        <w:t xml:space="preserve">(ESPÍRITO SANTO, 2021b, art. 14; SECULT, 2025a, arts. 37-42). A comissão se reúne semanalmente e o certificado de aptidão sai projeto a projeto (SECULT, 2023b, art. 9º; 2025a, arts. 40 e 45): os inscritos não disputam vagas entre si, e por isso não há classificação. Nenhuma norma lida prevê nota, peso, nota de corte ou ordem de prioridade, e no Mapa Cultural as fases de parecer e de comissão estão registradas como</w:t>
      </w:r>
      <w:r>
        <w:t xml:space="preserve"> </w:t>
      </w:r>
      <w:r>
        <w:t xml:space="preserve">“avaliação simplificada”</w:t>
      </w:r>
      <w:r>
        <w:t xml:space="preserve">, não como avaliação técnica (SECULT, 2026e). O modelo de parecer também não atribui nota: para cada critério, o parecerista indica se o projeto</w:t>
      </w:r>
      <w:r>
        <w:t xml:space="preserve"> </w:t>
      </w:r>
      <w:r>
        <w:t xml:space="preserve">“atende ou não”</w:t>
      </w:r>
      <w:r>
        <w:t xml:space="preserve"> </w:t>
      </w:r>
      <w:r>
        <w:t xml:space="preserve">e, ao final, sugere habilitação, inabilitação ou diligência (SECULT, 2026f). A única pontuação do processo é a dos pareceristas, no edital que os credencia. A habilitação qualifica, mas não prioriza, e autoriza mais do que o teto financia. A escolha entre projetos considerados aptos passa, assim, à empresa e à fila de validação. Com o montante esgotado de 2023 a 2025, o excesso de demanda com patrocinador foi racionado pelo momento em que o termo chegou e foi validado, não por mérito. Os anexos de 2023 e 2024 listam termos</w:t>
      </w:r>
      <w:r>
        <w:t xml:space="preserve"> </w:t>
      </w:r>
      <w:r>
        <w:t xml:space="preserve">“indeferidos por ultrapassar o montante”</w:t>
      </w:r>
      <w:r>
        <w:t xml:space="preserve">; o de 2025, que dá a data de recebimento de cada termo, mostra a cota de 50% completa com termos recebidos até 28 de janeiro e a de 30% até 20 de maio (SECULT, 2026c). Nenhuma norma lida fixa a ordem de validação.</w:t>
      </w:r>
    </w:p>
    <w:p>
      <w:pPr>
        <w:pStyle w:val="BodyText"/>
      </w:pPr>
      <w:r>
        <w:rPr>
          <w:b/>
          <w:bCs/>
        </w:rPr>
        <w:t xml:space="preserve">Escolha da empresa.</w:t>
      </w:r>
      <w:r>
        <w:t xml:space="preserve"> </w:t>
      </w:r>
      <w:r>
        <w:t xml:space="preserve">Com crédito integral, a empresa escolhe o destino do ICMS que pagaria e fica com a marca; como o limite por patrocinador é uma fração do ICMS recolhido (Quadro 1), as maiores contribuintes têm mais espaço para patrocinar, e a concentração da renúncia em poucas empresas (Quadro 2) reflete também a do próprio imposto. Imagem e relações de negócio estão entre os motivos do patrocínio (O’HAGAN; HARVEY, 2000), e a filantropia empresarial também serve de canal de influência política (BERTRAND</w:t>
      </w:r>
      <w:r>
        <w:t xml:space="preserve"> </w:t>
      </w:r>
      <w:r>
        <w:rPr>
          <w:i/>
          <w:iCs/>
        </w:rPr>
        <w:t xml:space="preserve">et al.</w:t>
      </w:r>
      <w:r>
        <w:t xml:space="preserve">, 2020). Entre as companhias abertas brasileiras, a chance de patrocinar cultura cresce com o porte da empresa e com a concentração do setor (ALCÂNTARA; BENEDICTO; SILVA, 2019). Das 26 empresas que patrocinaram em 2025, 13 também aparecem como incentivadoras da Lei Rouanet, e elas responderam por 86% da renúncia daquele ano (BRASIL, 2026b). O fato admite duas leituras: um marketing cultural já estruturado, o</w:t>
      </w:r>
      <w:r>
        <w:t xml:space="preserve"> </w:t>
      </w:r>
      <w:r>
        <w:t xml:space="preserve">“mercado de patrocínios”</w:t>
      </w:r>
      <w:r>
        <w:t xml:space="preserve"> </w:t>
      </w:r>
      <w:r>
        <w:t xml:space="preserve">de Belem e Donadone (2013), ou a troca de fonte, que reduz a adicionalidade (H1b). A evidência sobre o destino é mista. Quando a busca de patrocinador passou para antes da comissão, a parcela da RMGV no valor habilitado atribuível a um município caiu de 74% (ciclo 2024) para 57% (2025). Projetos que pediram exatamente o teto de R$ 500 mil captaram mais que os menores: 83% contra 52% dos que pediram até R$ 200 mil, em 2022-2024. Esses fatos têm explicações que não dependem da marca: quem já tem patrocinador acertado pede o teto, e quem já captou tem rede e experiência. Daí a premissa ficar contestada.</w:t>
      </w:r>
    </w:p>
    <w:p>
      <w:pPr>
        <w:pStyle w:val="BodyText"/>
      </w:pPr>
      <w:r>
        <w:rPr>
          <w:b/>
          <w:bCs/>
        </w:rPr>
        <w:t xml:space="preserve">Entrega e território.</w:t>
      </w:r>
      <w:r>
        <w:t xml:space="preserve"> </w:t>
      </w:r>
      <w:r>
        <w:t xml:space="preserve">A maior reserva do teto, 30%, vai a eventos com mais de dez anos de existência, provavelmente os de maior chance de financiamento sem incentivo. É uma tensão com o critério do TCU (BRASIL, 2016) que fica como hipótese a testar, não como descumprimento apurado. A RMGV tem 49% da população e fica com 67% do valor atribuível a um município em 2022-2026. O Gini do valor entre os 78 municípios é 0,88, e a diferença entre RMGV e interior explica só 7% da desigualdade na decomposição de Theil. Por isso a reserva de 10% para projetos fora da RMGV age sobre a menor parte dela.</w:t>
      </w:r>
    </w:p>
    <w:p>
      <w:pPr>
        <w:pStyle w:val="BodyText"/>
      </w:pPr>
      <w:r>
        <w:rPr>
          <w:b/>
          <w:bCs/>
        </w:rPr>
        <w:t xml:space="preserve">Monitoramento.</w:t>
      </w:r>
      <w:r>
        <w:t xml:space="preserve"> </w:t>
      </w:r>
      <w:r>
        <w:t xml:space="preserve">O que a SECULT publica cobre insumos e produtos, mas não a entrada (inscritos e inabilitados) nem o resultado (público, gratuidade, contrapartidas executadas). Os dois indicadores que a teoria da mudança mais exige falham no critério SMART de ser mensurável. A lei já manda divulgar os benefícios,</w:t>
      </w:r>
      <w:r>
        <w:t xml:space="preserve"> </w:t>
      </w:r>
      <w:r>
        <w:t xml:space="preserve">“inclusive no Portal da Transparência do Estado”</w:t>
      </w:r>
      <w:r>
        <w:t xml:space="preserve"> </w:t>
      </w:r>
      <w:r>
        <w:t xml:space="preserve">(ESPÍRITO SANTO, 2021a).</w:t>
      </w:r>
    </w:p>
    <w:p>
      <w:pPr>
        <w:pStyle w:val="BodyText"/>
      </w:pPr>
      <w:r>
        <w:t xml:space="preserve">Em síntese, com o dado público nenhum elo aparece claramente rompido. Para desconcentrar o financiamento, algo na cadeia precisaria dirigir recursos para fora do circuito consolidado; nem a habilitação, que qualifica sem priorizar, nem o racionamento, que segue o calendário dos termos, faz isso. Essas duas premissas não são asseguradas pelo desenho, o que não quer dizer que sejam violadas: sem nota, não se sabe se as empresas escolhem os melhores projetos. A escolha da empresa é contestada, e a entrada e a entrega ficam indeterminadas por falta de dado. A seção 5 trata das três últimas.</w:t>
      </w:r>
    </w:p>
    <w:bookmarkEnd w:id="19"/>
    <w:bookmarkEnd w:id="20"/>
    <w:bookmarkStart w:id="26" w:name="proposta-de-avaliação-de-impacto"/>
    <w:p>
      <w:pPr>
        <w:pStyle w:val="Heading1"/>
      </w:pPr>
      <w:r>
        <w:t xml:space="preserve">5 Proposta de avaliação de impacto</w:t>
      </w:r>
    </w:p>
    <w:bookmarkStart w:id="21" w:name="perguntas-e-parâmetros"/>
    <w:p>
      <w:pPr>
        <w:pStyle w:val="Heading2"/>
      </w:pPr>
      <w:r>
        <w:t xml:space="preserve">5.1 Perguntas e parâmetros</w:t>
      </w:r>
    </w:p>
    <w:p>
      <w:pPr>
        <w:pStyle w:val="FirstParagraph"/>
      </w:pPr>
      <w:r>
        <w:t xml:space="preserve">Como no material do J-PAL, as premissas do Quadro 2 viram perguntas de pesquisa: três perguntas de avaliação (Quadro 3), na notação de resultados potenciais. Seja</w:t>
      </w:r>
      <w:r>
        <w:t xml:space="preserve"> </w:t>
      </w:r>
      <w:r>
        <w:rPr>
          <w:i/>
          <w:iCs/>
        </w:rPr>
        <w:t xml:space="preserve">i</w:t>
      </w:r>
      <w:r>
        <w:t xml:space="preserve"> </w:t>
      </w:r>
      <w:r>
        <w:t xml:space="preserve">a unidade,</w:t>
      </w:r>
      <w:r>
        <w:t xml:space="preserve"> </w:t>
      </w:r>
      <w:r>
        <w:rPr>
          <w:i/>
          <w:iCs/>
        </w:rPr>
        <w:t xml:space="preserve">T</w:t>
      </w:r>
      <w:r>
        <w:t xml:space="preserve"> </w:t>
      </w:r>
      <w:r>
        <w:t xml:space="preserve">o tratamento e</w:t>
      </w:r>
      <w:r>
        <w:t xml:space="preserve"> </w:t>
      </w:r>
      <w:r>
        <w:rPr>
          <w:i/>
          <w:iCs/>
        </w:rPr>
        <w:t xml:space="preserve">Y</w:t>
      </w:r>
      <w:r>
        <w:t xml:space="preserve">(1) e</w:t>
      </w:r>
      <w:r>
        <w:t xml:space="preserve"> </w:t>
      </w:r>
      <w:r>
        <w:rPr>
          <w:i/>
          <w:iCs/>
        </w:rPr>
        <w:t xml:space="preserve">Y</w:t>
      </w:r>
      <w:r>
        <w:t xml:space="preserve">(0) os resultados com e sem ele. O Quadro 3 mostra também por que a comparação simples entre grupos não responde a nenhuma delas. A diferença simples de médias é igual ao efeito médio mais um viés de seleção e um viés de efeitos heterogêneos.</w:t>
      </w:r>
    </w:p>
    <w:p>
      <w:pPr>
        <w:pStyle w:val="BodyText"/>
        <w:keepNext/>
      </w:pPr>
      <w:r>
        <w:rPr>
          <w:b/>
          <w:bCs/>
        </w:rPr>
        <w:t xml:space="preserve">Quadro 3 – Perguntas de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1760"/>
        <w:gridCol w:w="1760"/>
        <w:gridCol w:w="1430"/>
        <w:gridCol w:w="1980"/>
      </w:tblGrid>
      <w:tr>
        <w:trPr>
          <w:tblHeader w:val="on"/>
          <w:tblHeader w:val="true"/>
        </w:trPr>
        <w:tc>
          <w:tcPr/>
          <w:p>
            <w:pPr>
              <w:pStyle w:val="Compact"/>
              <w:spacing w:after="0" w:before="0"/>
              <w:jc w:val="left"/>
            </w:pPr>
            <w:r>
              <w:rPr>
                <w:b/>
                <w:sz w:val="20"/>
              </w:rPr>
              <w:t xml:space="preserve">Hipótese</w:t>
            </w:r>
          </w:p>
        </w:tc>
        <w:tc>
          <w:tcPr/>
          <w:p>
            <w:pPr>
              <w:pStyle w:val="Compact"/>
              <w:spacing w:after="0" w:before="0"/>
              <w:jc w:val="left"/>
            </w:pPr>
            <w:r>
              <w:rPr>
                <w:b/>
                <w:sz w:val="20"/>
              </w:rPr>
              <w:t xml:space="preserve">Pergunta</w:t>
            </w:r>
          </w:p>
        </w:tc>
        <w:tc>
          <w:tcPr/>
          <w:p>
            <w:pPr>
              <w:pStyle w:val="Compact"/>
              <w:spacing w:after="0" w:before="0"/>
              <w:jc w:val="left"/>
            </w:pPr>
            <w:r>
              <w:rPr>
                <w:b/>
                <w:sz w:val="20"/>
              </w:rPr>
              <w:t xml:space="preserve">Unidade, tratamento e resultado</w:t>
            </w:r>
          </w:p>
        </w:tc>
        <w:tc>
          <w:tcPr/>
          <w:p>
            <w:pPr>
              <w:pStyle w:val="Compact"/>
              <w:spacing w:after="0" w:before="0"/>
              <w:jc w:val="left"/>
            </w:pPr>
            <w:r>
              <w:rPr>
                <w:b/>
                <w:sz w:val="20"/>
              </w:rPr>
              <w:t xml:space="preserve">Parâmetro</w:t>
            </w:r>
          </w:p>
        </w:tc>
        <w:tc>
          <w:tcPr/>
          <w:p>
            <w:pPr>
              <w:pStyle w:val="Compact"/>
              <w:spacing w:after="0" w:before="0"/>
              <w:jc w:val="left"/>
            </w:pPr>
            <w:r>
              <w:rPr>
                <w:b/>
                <w:sz w:val="20"/>
              </w:rPr>
              <w:t xml:space="preserve">Viés da comparação simples</w:t>
            </w:r>
          </w:p>
        </w:tc>
      </w:tr>
      <w:tr>
        <w:tc>
          <w:tcPr/>
          <w:p>
            <w:pPr>
              <w:pStyle w:val="Compact"/>
              <w:spacing w:after="0" w:before="0"/>
              <w:jc w:val="left"/>
            </w:pPr>
            <w:r>
              <w:rPr>
                <w:sz w:val="20"/>
              </w:rPr>
              <w:t xml:space="preserve">H1b</w:t>
            </w:r>
          </w:p>
        </w:tc>
        <w:tc>
          <w:tcPr/>
          <w:p>
            <w:pPr>
              <w:pStyle w:val="Compact"/>
              <w:spacing w:after="0" w:before="0"/>
              <w:jc w:val="left"/>
            </w:pPr>
            <w:r>
              <w:rPr>
                <w:sz w:val="20"/>
              </w:rPr>
              <w:t xml:space="preserve">Captar pela LICC muda a realização e o alcance do projeto?</w:t>
            </w:r>
          </w:p>
        </w:tc>
        <w:tc>
          <w:tcPr/>
          <w:p>
            <w:pPr>
              <w:pStyle w:val="Compact"/>
              <w:spacing w:after="0" w:before="0"/>
              <w:jc w:val="left"/>
            </w:pPr>
            <w:r>
              <w:rPr>
                <w:sz w:val="20"/>
              </w:rPr>
              <w:t xml:space="preserve">Projeto habilitado;</w:t>
            </w:r>
            <w:r>
              <w:rPr>
                <w:sz w:val="20"/>
              </w:rPr>
              <w:t xml:space="preserve"> </w:t>
            </w:r>
            <w:r>
              <w:rPr>
                <w:i/>
                <w:iCs/>
                <w:sz w:val="20"/>
              </w:rPr>
              <w:t xml:space="preserve">T</w:t>
            </w:r>
            <w:r>
              <w:rPr>
                <w:sz w:val="20"/>
              </w:rPr>
              <w:t xml:space="preserve"> </w:t>
            </w:r>
            <w:r>
              <w:rPr>
                <w:sz w:val="20"/>
              </w:rPr>
              <w:t xml:space="preserve">= captou;</w:t>
            </w:r>
            <w:r>
              <w:rPr>
                <w:sz w:val="20"/>
              </w:rPr>
              <w:t xml:space="preserve"> </w:t>
            </w:r>
            <w:r>
              <w:rPr>
                <w:i/>
                <w:iCs/>
                <w:sz w:val="20"/>
              </w:rPr>
              <w:t xml:space="preserve">Y</w:t>
            </w:r>
            <w:r>
              <w:rPr>
                <w:sz w:val="20"/>
              </w:rPr>
              <w:t xml:space="preserve"> </w:t>
            </w:r>
            <w:r>
              <w:rPr>
                <w:sz w:val="20"/>
              </w:rPr>
              <w:t xml:space="preserve">= o bem cultural acontece no ano previsto; público e gratuidade</w:t>
            </w:r>
          </w:p>
        </w:tc>
        <w:tc>
          <w:tcPr/>
          <w:p>
            <w:pPr>
              <w:pStyle w:val="Compact"/>
              <w:spacing w:after="0" w:before="0"/>
              <w:jc w:val="left"/>
            </w:pPr>
            <w:r>
              <w:rPr>
                <w:sz w:val="20"/>
              </w:rPr>
              <w:t xml:space="preserve">Efeito médio sobre os tratados (EMPT), contrastado com o dos não tratados (EMPNT)</w:t>
            </w:r>
          </w:p>
        </w:tc>
        <w:tc>
          <w:tcPr/>
          <w:p>
            <w:pPr>
              <w:pStyle w:val="Compact"/>
              <w:spacing w:after="0" w:before="0"/>
              <w:jc w:val="left"/>
            </w:pPr>
            <w:r>
              <w:rPr>
                <w:sz w:val="20"/>
              </w:rPr>
              <w:t xml:space="preserve">A empresa escolhe eventos consolidados:</w:t>
            </w:r>
            <w:r>
              <w:rPr>
                <w:sz w:val="20"/>
              </w:rPr>
              <w:t xml:space="preserve"> </w:t>
            </w:r>
            <w:r>
              <w:rPr>
                <w:i/>
                <w:iCs/>
                <w:sz w:val="20"/>
              </w:rPr>
              <w:t xml:space="preserve">Y</w:t>
            </w:r>
            <w:r>
              <w:rPr>
                <w:sz w:val="20"/>
              </w:rPr>
              <w:t xml:space="preserve">(0) maior entre os escolhidos, viés de seleção positivo, e a comparação superestima o EMPT; efeito menor onde ela escolhe puxa no sentido oposto em relação ao efeito médio</w:t>
            </w:r>
          </w:p>
        </w:tc>
      </w:tr>
      <w:tr>
        <w:tc>
          <w:tcPr/>
          <w:p>
            <w:pPr>
              <w:pStyle w:val="Compact"/>
              <w:spacing w:after="0" w:before="0"/>
              <w:jc w:val="left"/>
            </w:pPr>
            <w:r>
              <w:rPr>
                <w:sz w:val="20"/>
              </w:rPr>
              <w:t xml:space="preserve">H3</w:t>
            </w:r>
          </w:p>
        </w:tc>
        <w:tc>
          <w:tcPr/>
          <w:p>
            <w:pPr>
              <w:pStyle w:val="Compact"/>
              <w:spacing w:after="0" w:before="0"/>
              <w:jc w:val="left"/>
            </w:pPr>
            <w:r>
              <w:rPr>
                <w:sz w:val="20"/>
              </w:rPr>
              <w:t xml:space="preserve">Reduzir o custo de entrada muda a inscrição, a habilitação e o perfil de quem entra?</w:t>
            </w:r>
          </w:p>
        </w:tc>
        <w:tc>
          <w:tcPr/>
          <w:p>
            <w:pPr>
              <w:pStyle w:val="Compact"/>
              <w:spacing w:after="0" w:before="0"/>
              <w:jc w:val="left"/>
            </w:pPr>
            <w:r>
              <w:rPr>
                <w:sz w:val="20"/>
              </w:rPr>
              <w:t xml:space="preserve">Agente cultural sem inscrição prévia;</w:t>
            </w:r>
            <w:r>
              <w:rPr>
                <w:sz w:val="20"/>
              </w:rPr>
              <w:t xml:space="preserve"> </w:t>
            </w:r>
            <w:r>
              <w:rPr>
                <w:i/>
                <w:iCs/>
                <w:sz w:val="20"/>
              </w:rPr>
              <w:t xml:space="preserve">T</w:t>
            </w:r>
            <w:r>
              <w:rPr>
                <w:sz w:val="20"/>
              </w:rPr>
              <w:t xml:space="preserve"> </w:t>
            </w:r>
            <w:r>
              <w:rPr>
                <w:sz w:val="20"/>
              </w:rPr>
              <w:t xml:space="preserve">= oferta de apoio à inscrição e à busca de patrocínio;</w:t>
            </w:r>
            <w:r>
              <w:rPr>
                <w:sz w:val="20"/>
              </w:rPr>
              <w:t xml:space="preserve"> </w:t>
            </w:r>
            <w:r>
              <w:rPr>
                <w:i/>
                <w:iCs/>
                <w:sz w:val="20"/>
              </w:rPr>
              <w:t xml:space="preserve">Y</w:t>
            </w:r>
            <w:r>
              <w:rPr>
                <w:sz w:val="20"/>
              </w:rPr>
              <w:t xml:space="preserve"> </w:t>
            </w:r>
            <w:r>
              <w:rPr>
                <w:sz w:val="20"/>
              </w:rPr>
              <w:t xml:space="preserve">= inscreveu-se, foi habilitado, captou</w:t>
            </w:r>
          </w:p>
        </w:tc>
        <w:tc>
          <w:tcPr/>
          <w:p>
            <w:pPr>
              <w:pStyle w:val="Compact"/>
              <w:spacing w:after="0" w:before="0"/>
              <w:jc w:val="left"/>
            </w:pPr>
            <w:r>
              <w:rPr>
                <w:sz w:val="20"/>
              </w:rPr>
              <w:t xml:space="preserve">Efeito da oferta (intenção de tratar) e efeito local para quem responde a ela</w:t>
            </w:r>
          </w:p>
        </w:tc>
        <w:tc>
          <w:tcPr/>
          <w:p>
            <w:pPr>
              <w:pStyle w:val="Compact"/>
              <w:spacing w:after="0" w:before="0"/>
              <w:jc w:val="left"/>
            </w:pPr>
            <w:r>
              <w:rPr>
                <w:sz w:val="20"/>
              </w:rPr>
              <w:t xml:space="preserve">Quem se inscreve por conta própria tem mais capacidade: viés de seleção</w:t>
            </w:r>
          </w:p>
        </w:tc>
      </w:tr>
      <w:tr>
        <w:tc>
          <w:tcPr/>
          <w:p>
            <w:pPr>
              <w:pStyle w:val="Compact"/>
              <w:spacing w:after="0" w:before="0"/>
              <w:jc w:val="left"/>
            </w:pPr>
            <w:r>
              <w:rPr>
                <w:sz w:val="20"/>
              </w:rPr>
              <w:t xml:space="preserve">H2a</w:t>
            </w:r>
          </w:p>
        </w:tc>
        <w:tc>
          <w:tcPr/>
          <w:p>
            <w:pPr>
              <w:pStyle w:val="Compact"/>
              <w:spacing w:after="0" w:before="0"/>
              <w:jc w:val="left"/>
            </w:pPr>
            <w:r>
              <w:rPr>
                <w:sz w:val="20"/>
              </w:rPr>
              <w:t xml:space="preserve">A captação acompanha o que o parecer registrou?</w:t>
            </w:r>
          </w:p>
        </w:tc>
        <w:tc>
          <w:tcPr/>
          <w:p>
            <w:pPr>
              <w:pStyle w:val="Compact"/>
              <w:spacing w:after="0" w:before="0"/>
              <w:jc w:val="left"/>
            </w:pPr>
            <w:r>
              <w:rPr>
                <w:sz w:val="20"/>
              </w:rPr>
              <w:t xml:space="preserve">Projeto habilitado; critérios atendidos e diligências;</w:t>
            </w:r>
            <w:r>
              <w:rPr>
                <w:sz w:val="20"/>
              </w:rPr>
              <w:t xml:space="preserve"> </w:t>
            </w:r>
            <w:r>
              <w:rPr>
                <w:i/>
                <w:iCs/>
                <w:sz w:val="20"/>
              </w:rPr>
              <w:t xml:space="preserve">Y</w:t>
            </w:r>
            <w:r>
              <w:rPr>
                <w:sz w:val="20"/>
              </w:rPr>
              <w:t xml:space="preserve"> </w:t>
            </w:r>
            <w:r>
              <w:rPr>
                <w:sz w:val="20"/>
              </w:rPr>
              <w:t xml:space="preserve">= captou</w:t>
            </w:r>
          </w:p>
        </w:tc>
        <w:tc>
          <w:tcPr/>
          <w:p>
            <w:pPr>
              <w:pStyle w:val="Compact"/>
              <w:spacing w:after="0" w:before="0"/>
              <w:jc w:val="left"/>
            </w:pPr>
            <w:r>
              <w:rPr>
                <w:sz w:val="20"/>
              </w:rPr>
              <w:t xml:space="preserve">Associação condicional (descritiva, não causal)</w:t>
            </w:r>
          </w:p>
        </w:tc>
        <w:tc>
          <w:tcPr/>
          <w:p>
            <w:pPr>
              <w:pStyle w:val="Compact"/>
              <w:spacing w:after="0" w:before="0"/>
              <w:jc w:val="left"/>
            </w:pPr>
            <w:r>
              <w:rPr>
                <w:sz w:val="20"/>
              </w:rPr>
              <w:t xml:space="preserve">O parecer não é sorteado nem pontuado: sem variação exógena, não há efeito identificável</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e no material da disciplina sobre resultados potenciais.</w:t>
      </w:r>
    </w:p>
    <w:p>
      <w:pPr>
        <w:pStyle w:val="BodyText"/>
      </w:pPr>
      <w:r>
        <w:t xml:space="preserve">O EMPT é o parâmetro indicado porque a participação é voluntária, do proponente e da empresa.</w:t>
      </w:r>
    </w:p>
    <w:bookmarkEnd w:id="21"/>
    <w:bookmarkStart w:id="22" w:name="estratégias-de-identificação-candidatas"/>
    <w:p>
      <w:pPr>
        <w:pStyle w:val="Heading2"/>
      </w:pPr>
      <w:r>
        <w:t xml:space="preserve">5.2 Estratégias de identificação candidatas</w:t>
      </w:r>
    </w:p>
    <w:p>
      <w:pPr>
        <w:pStyle w:val="FirstParagraph"/>
      </w:pPr>
      <w:r>
        <w:t xml:space="preserve">As regras de operação determinam o método (GERTLER</w:t>
      </w:r>
      <w:r>
        <w:t xml:space="preserve"> </w:t>
      </w:r>
      <w:r>
        <w:rPr>
          <w:i/>
          <w:iCs/>
        </w:rPr>
        <w:t xml:space="preserve">et al.</w:t>
      </w:r>
      <w:r>
        <w:t xml:space="preserve">, 2018). Com excesso de demanda, ciclos anuais e nenhum índice publicado com ponto de corte, cabem sorteio, promoção aleatória, diferenças em diferenças e diferenças em diferenças com pareamento. O sorteio mudaria a regra de alocação e fica fora do escopo; o racionamento no teto é o seu análogo natural. A escolha depende dos dados que a SECULT liberar (seção 5.3).</w:t>
      </w:r>
    </w:p>
    <w:p>
      <w:pPr>
        <w:pStyle w:val="Compact"/>
        <w:numPr>
          <w:ilvl w:val="0"/>
          <w:numId w:val="1001"/>
        </w:numPr>
      </w:pPr>
      <w:r>
        <w:rPr>
          <w:b/>
          <w:bCs/>
        </w:rPr>
        <w:t xml:space="preserve">H1b.</w:t>
      </w:r>
      <w:r>
        <w:t xml:space="preserve"> </w:t>
      </w:r>
      <w:r>
        <w:t xml:space="preserve">Os termos validados pouco antes do esgotamento do teto e os de 32 projetos recusados em 2023 e 2024 tinham, todos, patrocinador disposto. Mas 6 dos 11 recusados em 2023 e 12 dos 21 recusados em 2024 captaram no ano seguinte: a comparação mede o efeito de receber agora, não o de receber. Com resultado datado (realização no ano previsto), o indeferimento vira instrumento para o financiamento no ano, com a reentrada como primeiro estágio, se a ordem de validação não se ligar ao projeto (testável com as datas de protocolo e validação). Os 95 que expiraram, pareados aos que captaram dentro do ciclo, delimitam o efeito sob seleção nos observáveis; diferenças em diferenças exigiriam o proponente-ano como unidade, com resultados antes e depois (agenda do Mapa Cultural, SALIC), como em Colombo e Cruz (2023). O SALIC mostra ainda se as empresas deixaram a Rouanet ao entrar na LICC (substituição).</w:t>
      </w:r>
    </w:p>
    <w:p>
      <w:pPr>
        <w:pStyle w:val="Compact"/>
        <w:numPr>
          <w:ilvl w:val="0"/>
          <w:numId w:val="1001"/>
        </w:numPr>
      </w:pPr>
      <w:r>
        <w:rPr>
          <w:b/>
          <w:bCs/>
        </w:rPr>
        <w:t xml:space="preserve">H3.</w:t>
      </w:r>
      <w:r>
        <w:t xml:space="preserve"> </w:t>
      </w:r>
      <w:r>
        <w:t xml:space="preserve">Uma promoção aleatória de apoio à inscrição sorteada entre municípios do interior não altera nenhuma regra de alocação. Como, desde 2025, o projeto só vai à comissão com patrocinador, a oferta cobre a documentação (CNPJ, certidões) e a busca de patrocínio (patrocinadores já publicados nos anexos, termo e carta de intenção); dois braços sorteados separam os dois atritos. Ela estima o efeito da oferta e, para quem responde a ela, o efeito local (ANGRIST; IMBENS; RUBIN, 1996). Como o teto é fixo, novos entrantes deslocam outros, e sortear também a intensidade da oferta entre municípios mede esse deslocamento (BAIRD</w:t>
      </w:r>
      <w:r>
        <w:t xml:space="preserve"> </w:t>
      </w:r>
      <w:r>
        <w:rPr>
          <w:i/>
          <w:iCs/>
        </w:rPr>
        <w:t xml:space="preserve">et al.</w:t>
      </w:r>
      <w:r>
        <w:t xml:space="preserve">, 2018).</w:t>
      </w:r>
    </w:p>
    <w:p>
      <w:pPr>
        <w:pStyle w:val="Compact"/>
        <w:numPr>
          <w:ilvl w:val="0"/>
          <w:numId w:val="1001"/>
        </w:numPr>
      </w:pPr>
      <w:r>
        <w:rPr>
          <w:b/>
          <w:bCs/>
        </w:rPr>
        <w:t xml:space="preserve">H2a.</w:t>
      </w:r>
      <w:r>
        <w:t xml:space="preserve"> </w:t>
      </w:r>
      <w:r>
        <w:t xml:space="preserve">Como o parecer não atribui nota, não há ponto de corte para regressão descontínua. A pergunta fica descritiva: se a captação se associa ao que o parecer registrou (critérios atendidos, diligências), com os pareceres obtidos por LAI.</w:t>
      </w:r>
    </w:p>
    <w:bookmarkEnd w:id="22"/>
    <w:bookmarkStart w:id="23" w:name="desenho-da-amostra-e-fontes-de-dados"/>
    <w:p>
      <w:pPr>
        <w:pStyle w:val="Heading2"/>
      </w:pPr>
      <w:r>
        <w:t xml:space="preserve">5.3 Desenho da amostra e fontes de dados</w:t>
      </w:r>
    </w:p>
    <w:p>
      <w:pPr>
        <w:pStyle w:val="FirstParagraph"/>
      </w:pPr>
      <w:r>
        <w:t xml:space="preserve">Para H1b e H2a trabalha-se com o universo, e a listagem vem dos anexos oficiais. São 293 projetos habilitados em 2022-2024 com situação resolvida, de 172 proponentes, e os termos de 2023 e 2024 na margem do racionamento. Para H3, a listagem é o cadastro de agentes do Mapa Cultural. O município é campo público, mas o CNPJ não, e 79% dos coletivos e 78% dos individuais não informam município. Com município no interior, há 257 coletivos em 52 municípios e 2.389 agentes, somados os individuais, nos 71. A amostra é por conglomerados: os municípios do interior são sorteados para receber a oferta, e dentro deles entram todos os agentes sem inscrição anterior. A listagem deixa de fora quem não está cadastrado ou não informa município (viés de cobertura), e a restrição a quem tem CNPJ depende do cadastro da SECULT. O gargalo comum é a chave: os anexos não trazem o CNPJ do proponente, mas a SECULT o tem, porque a inscrição o exige. O Quadro 4 lista as fontes. Os pedidos seguem a Lei de Acesso à Informação; se negados, a ocorrência se aproxima pela agenda do Mapa Cultural e pelos extratos do Diário Oficial.</w:t>
      </w:r>
    </w:p>
    <w:p>
      <w:pPr>
        <w:pStyle w:val="BodyText"/>
        <w:keepNext/>
      </w:pPr>
      <w:r>
        <w:rPr>
          <w:b/>
          <w:bCs/>
        </w:rPr>
        <w:t xml:space="preserve">Quadro 4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spacing w:after="0" w:before="0"/>
              <w:jc w:val="left"/>
            </w:pPr>
            <w:r>
              <w:rPr>
                <w:b/>
                <w:sz w:val="20"/>
              </w:rPr>
              <w:t xml:space="preserve">Fonte</w:t>
            </w:r>
          </w:p>
        </w:tc>
        <w:tc>
          <w:tcPr/>
          <w:p>
            <w:pPr>
              <w:pStyle w:val="Compact"/>
              <w:spacing w:after="0" w:before="0"/>
              <w:jc w:val="left"/>
            </w:pPr>
            <w:r>
              <w:rPr>
                <w:b/>
                <w:sz w:val="20"/>
              </w:rPr>
              <w:t xml:space="preserve">Conteúdo</w:t>
            </w:r>
          </w:p>
        </w:tc>
        <w:tc>
          <w:tcPr/>
          <w:p>
            <w:pPr>
              <w:pStyle w:val="Compact"/>
              <w:spacing w:after="0" w:before="0"/>
              <w:jc w:val="left"/>
            </w:pPr>
            <w:r>
              <w:rPr>
                <w:b/>
                <w:sz w:val="20"/>
              </w:rPr>
              <w:t xml:space="preserve">Uso</w:t>
            </w:r>
          </w:p>
        </w:tc>
        <w:tc>
          <w:tcPr/>
          <w:p>
            <w:pPr>
              <w:pStyle w:val="Compact"/>
              <w:spacing w:after="0" w:before="0"/>
              <w:jc w:val="left"/>
            </w:pPr>
            <w:r>
              <w:rPr>
                <w:b/>
                <w:sz w:val="20"/>
              </w:rPr>
              <w:t xml:space="preserve">Acesso</w:t>
            </w:r>
          </w:p>
        </w:tc>
      </w:tr>
      <w:tr>
        <w:tc>
          <w:tcPr/>
          <w:p>
            <w:pPr>
              <w:pStyle w:val="Compact"/>
              <w:spacing w:after="0" w:before="0"/>
              <w:jc w:val="left"/>
            </w:pPr>
            <w:r>
              <w:rPr>
                <w:sz w:val="20"/>
              </w:rPr>
              <w:t xml:space="preserve">Inscrições da SECULT (Mapa Cultural)</w:t>
            </w:r>
          </w:p>
        </w:tc>
        <w:tc>
          <w:tcPr/>
          <w:p>
            <w:pPr>
              <w:pStyle w:val="Compact"/>
              <w:spacing w:after="0" w:before="0"/>
              <w:jc w:val="left"/>
            </w:pPr>
            <w:r>
              <w:rPr>
                <w:sz w:val="20"/>
              </w:rPr>
              <w:t xml:space="preserve">Todas as inscrições, inclusive inabilitadas e arquivadas, com motivo, parecer, CNPJ, sede e datas</w:t>
            </w:r>
          </w:p>
        </w:tc>
        <w:tc>
          <w:tcPr/>
          <w:p>
            <w:pPr>
              <w:pStyle w:val="Compact"/>
              <w:spacing w:after="0" w:before="0"/>
              <w:jc w:val="left"/>
            </w:pPr>
            <w:r>
              <w:rPr>
                <w:sz w:val="20"/>
              </w:rPr>
              <w:t xml:space="preserve">H2a, H3; chave de ligação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Anexos de habilitados e captados; extratos do Diário Oficial</w:t>
            </w:r>
          </w:p>
        </w:tc>
        <w:tc>
          <w:tcPr/>
          <w:p>
            <w:pPr>
              <w:pStyle w:val="Compact"/>
              <w:spacing w:after="0" w:before="0"/>
              <w:jc w:val="left"/>
            </w:pPr>
            <w:r>
              <w:rPr>
                <w:sz w:val="20"/>
              </w:rPr>
              <w:t xml:space="preserve">Status, valores, patrocinador e data de cada repasse</w:t>
            </w:r>
          </w:p>
        </w:tc>
        <w:tc>
          <w:tcPr/>
          <w:p>
            <w:pPr>
              <w:pStyle w:val="Compact"/>
              <w:spacing w:after="0" w:before="0"/>
              <w:jc w:val="left"/>
            </w:pPr>
            <w:r>
              <w:rPr>
                <w:sz w:val="20"/>
              </w:rPr>
              <w:t xml:space="preserve">H1b; tratamento e intensidade</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SEFAZ</w:t>
            </w:r>
          </w:p>
        </w:tc>
        <w:tc>
          <w:tcPr/>
          <w:p>
            <w:pPr>
              <w:pStyle w:val="Compact"/>
              <w:spacing w:after="0" w:before="0"/>
              <w:jc w:val="left"/>
            </w:pPr>
            <w:r>
              <w:rPr>
                <w:sz w:val="20"/>
              </w:rPr>
              <w:t xml:space="preserve">Data e ordem de validação dos termos, inclusive indeferidos</w:t>
            </w:r>
          </w:p>
        </w:tc>
        <w:tc>
          <w:tcPr/>
          <w:p>
            <w:pPr>
              <w:pStyle w:val="Compact"/>
              <w:spacing w:after="0" w:before="0"/>
              <w:jc w:val="left"/>
            </w:pPr>
            <w:r>
              <w:rPr>
                <w:sz w:val="20"/>
              </w:rPr>
              <w:t xml:space="preserve">H1b (racionamento)</w:t>
            </w:r>
          </w:p>
        </w:tc>
        <w:tc>
          <w:tcPr/>
          <w:p>
            <w:pPr>
              <w:pStyle w:val="Compact"/>
              <w:spacing w:after="0" w:before="0"/>
              <w:jc w:val="left"/>
            </w:pPr>
            <w:r>
              <w:rPr>
                <w:sz w:val="20"/>
              </w:rPr>
              <w:t xml:space="preserve">Pedido por LAI</w:t>
            </w:r>
          </w:p>
        </w:tc>
      </w:tr>
      <w:tr>
        <w:tc>
          <w:tcPr/>
          <w:p>
            <w:pPr>
              <w:pStyle w:val="Compact"/>
              <w:spacing w:after="0" w:before="0"/>
              <w:jc w:val="left"/>
            </w:pPr>
            <w:r>
              <w:rPr>
                <w:sz w:val="20"/>
              </w:rPr>
              <w:t xml:space="preserve">Relatórios de execução</w:t>
            </w:r>
          </w:p>
        </w:tc>
        <w:tc>
          <w:tcPr/>
          <w:p>
            <w:pPr>
              <w:pStyle w:val="Compact"/>
              <w:spacing w:after="0" w:before="0"/>
              <w:jc w:val="left"/>
            </w:pPr>
            <w:r>
              <w:rPr>
                <w:sz w:val="20"/>
              </w:rPr>
              <w:t xml:space="preserve">Público, gratuidade, locais, contrapartidas</w:t>
            </w:r>
          </w:p>
        </w:tc>
        <w:tc>
          <w:tcPr/>
          <w:p>
            <w:pPr>
              <w:pStyle w:val="Compact"/>
              <w:spacing w:after="0" w:before="0"/>
              <w:jc w:val="left"/>
            </w:pP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Interno</w:t>
            </w:r>
          </w:p>
        </w:tc>
      </w:tr>
      <w:tr>
        <w:tc>
          <w:tcPr/>
          <w:p>
            <w:pPr>
              <w:pStyle w:val="Compact"/>
              <w:spacing w:after="0" w:before="0"/>
              <w:jc w:val="left"/>
            </w:pPr>
            <w:r>
              <w:rPr>
                <w:sz w:val="20"/>
              </w:rPr>
              <w:t xml:space="preserve">Mapa Cultural (API)</w:t>
            </w:r>
          </w:p>
        </w:tc>
        <w:tc>
          <w:tcPr/>
          <w:p>
            <w:pPr>
              <w:pStyle w:val="Compact"/>
              <w:spacing w:after="0" w:before="0"/>
              <w:jc w:val="left"/>
            </w:pPr>
            <w:r>
              <w:rPr>
                <w:sz w:val="20"/>
              </w:rPr>
              <w:t xml:space="preserve">Agentes, espaços e agenda de eventos por município</w:t>
            </w:r>
          </w:p>
        </w:tc>
        <w:tc>
          <w:tcPr/>
          <w:p>
            <w:pPr>
              <w:pStyle w:val="Compact"/>
              <w:spacing w:after="0" w:before="0"/>
              <w:jc w:val="left"/>
            </w:pPr>
            <w:r>
              <w:rPr>
                <w:sz w:val="20"/>
              </w:rPr>
              <w:t xml:space="preserve">Listagem de H3; ocorrência de eventos (</w:t>
            </w:r>
            <w:r>
              <w:rPr>
                <w:i/>
                <w:iCs/>
                <w:sz w:val="20"/>
              </w:rPr>
              <w:t xml:space="preserve">Y</w:t>
            </w:r>
            <w:r>
              <w:rPr>
                <w:sz w:val="20"/>
              </w:rPr>
              <w:t xml:space="preserve"> </w:t>
            </w:r>
            <w:r>
              <w:rPr>
                <w:sz w:val="20"/>
              </w:rPr>
              <w:t xml:space="preserve">de H1b)</w:t>
            </w:r>
          </w:p>
        </w:tc>
        <w:tc>
          <w:tcPr/>
          <w:p>
            <w:pPr>
              <w:pStyle w:val="Compact"/>
              <w:spacing w:after="0" w:before="0"/>
              <w:jc w:val="left"/>
            </w:pPr>
            <w:r>
              <w:rPr>
                <w:sz w:val="20"/>
              </w:rPr>
              <w:t xml:space="preserve">Público</w:t>
            </w:r>
          </w:p>
        </w:tc>
      </w:tr>
      <w:tr>
        <w:tc>
          <w:tcPr/>
          <w:p>
            <w:pPr>
              <w:pStyle w:val="Compact"/>
              <w:spacing w:after="0" w:before="0"/>
              <w:jc w:val="left"/>
            </w:pPr>
            <w:r>
              <w:rPr>
                <w:sz w:val="20"/>
              </w:rPr>
              <w:t xml:space="preserve">SALIC (Ministério da Cultura)</w:t>
            </w:r>
          </w:p>
        </w:tc>
        <w:tc>
          <w:tcPr/>
          <w:p>
            <w:pPr>
              <w:pStyle w:val="Compact"/>
              <w:spacing w:after="0" w:before="0"/>
              <w:jc w:val="left"/>
            </w:pPr>
            <w:r>
              <w:rPr>
                <w:sz w:val="20"/>
              </w:rPr>
              <w:t xml:space="preserve">Projetos e doações pela Rouanet, por CNPJ</w:t>
            </w:r>
          </w:p>
        </w:tc>
        <w:tc>
          <w:tcPr/>
          <w:p>
            <w:pPr>
              <w:pStyle w:val="Compact"/>
              <w:spacing w:after="0" w:before="0"/>
              <w:jc w:val="left"/>
            </w:pPr>
            <w:r>
              <w:rPr>
                <w:sz w:val="20"/>
              </w:rPr>
              <w:t xml:space="preserve">Substituição de fonte (H1b)</w:t>
            </w:r>
          </w:p>
        </w:tc>
        <w:tc>
          <w:tcPr/>
          <w:p>
            <w:pPr>
              <w:pStyle w:val="Compact"/>
              <w:spacing w:after="0" w:before="0"/>
              <w:jc w:val="left"/>
            </w:pPr>
            <w:r>
              <w:rPr>
                <w:sz w:val="20"/>
              </w:rPr>
              <w:t xml:space="preserve">Público</w:t>
            </w:r>
          </w:p>
        </w:tc>
      </w:tr>
    </w:tbl>
    <w:p>
      <w:pPr>
        <w:pStyle w:val="BodyText"/>
      </w:pPr>
      <w:r>
        <w:rPr>
          <w:sz w:val="20"/>
        </w:rPr>
        <w:t xml:space="preserve">Fonte: elaboração própria.</w:t>
      </w:r>
    </w:p>
    <w:bookmarkEnd w:id="23"/>
    <w:bookmarkStart w:id="24" w:name="cálculo-do-poder-estatístico"/>
    <w:p>
      <w:pPr>
        <w:pStyle w:val="Heading2"/>
      </w:pPr>
      <w:r>
        <w:t xml:space="preserve">5.4 Cálculo do poder estatístico</w:t>
      </w:r>
    </w:p>
    <w:p>
      <w:pPr>
        <w:pStyle w:val="FirstParagraph"/>
      </w:pPr>
      <w:r>
        <w:t xml:space="preserve">Para resultados binários, o efeito mínimo detectável (EMD), em pontos percentuais, é:</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T</m:t>
                  </m:r>
                  <m:r>
                    <m:rPr>
                      <m:sty m:val="p"/>
                    </m:rPr>
                    <m:t>(</m:t>
                  </m:r>
                  <m:r>
                    <m:t>1</m:t>
                  </m:r>
                  <m:r>
                    <m:rPr>
                      <m:sty m:val="p"/>
                    </m:rPr>
                    <m:t>−</m:t>
                  </m:r>
                  <m:r>
                    <m:t>T</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A fórmula segue o material da disciplina (DJIMEU; HOUNDOLO, 2016), com α = 5% bicaudal e poder de 80%. Nela,</w:t>
      </w:r>
      <w:r>
        <w:t xml:space="preserve"> </w:t>
      </w:r>
      <m:oMath>
        <m:sSub>
          <m:e>
            <m:r>
              <m:t>p</m:t>
            </m:r>
          </m:e>
          <m:sub>
            <m:r>
              <m:t>0</m:t>
            </m:r>
          </m:sub>
        </m:sSub>
      </m:oMath>
      <w:r>
        <w:t xml:space="preserve"> </w:t>
      </w:r>
      <w:r>
        <w:t xml:space="preserve">é a proporção no grupo de comparação,</w:t>
      </w:r>
      <w:r>
        <w:t xml:space="preserve"> </w:t>
      </w:r>
      <m:oMath>
        <m:r>
          <m:t>T</m:t>
        </m:r>
      </m:oMath>
      <w:r>
        <w:t xml:space="preserve"> </w:t>
      </w:r>
      <w:r>
        <w:t xml:space="preserve">a fração tratada,</w:t>
      </w:r>
      <w:r>
        <w:t xml:space="preserve"> </w:t>
      </w:r>
      <m:oMath>
        <m:r>
          <m:t>n</m:t>
        </m:r>
      </m:oMath>
      <w:r>
        <w:t xml:space="preserve"> </w:t>
      </w:r>
      <w:r>
        <w:t xml:space="preserve">o número de unidades, e o último termo é o efeito do desenho quando as unidades vêm em grupos (projetos de um mesmo proponente, agentes de um mesmo município), com tamanho médio</w:t>
      </w:r>
      <w:r>
        <w:t xml:space="preserve"> </w:t>
      </w:r>
      <m:oMath>
        <m:acc>
          <m:accPr>
            <m:chr m:val="‾"/>
          </m:accPr>
          <m:e>
            <m:r>
              <m:t>m</m:t>
            </m:r>
          </m:e>
        </m:acc>
      </m:oMath>
      <w:r>
        <w:t xml:space="preserve">, coeficiente de variação</w:t>
      </w:r>
      <w:r>
        <w:t xml:space="preserve"> </w:t>
      </w:r>
      <m:oMath>
        <m:r>
          <m:t>c</m:t>
        </m:r>
        <m:r>
          <m:t>v</m:t>
        </m:r>
      </m:oMath>
      <w:r>
        <w:t xml:space="preserve"> </w:t>
      </w:r>
      <w:r>
        <w:t xml:space="preserve">e correlação intragrupo</w:t>
      </w:r>
      <w:r>
        <w:t xml:space="preserve"> </w:t>
      </w:r>
      <m:oMath>
        <m:r>
          <m:t>ρ</m:t>
        </m:r>
      </m:oMath>
      <w:r>
        <w:t xml:space="preserve"> </w:t>
      </w:r>
      <w:r>
        <w:t xml:space="preserve">(ELDRIDGE; ASHBY; KERRY, 2006). A Tabela 2 reporta os cenários.</w:t>
      </w:r>
      <w:r>
        <w:t xml:space="preserve"> </w:t>
      </w:r>
      <m:oMath>
        <m:sSub>
          <m:e>
            <m:r>
              <m:t>p</m:t>
            </m:r>
          </m:e>
          <m:sub>
            <m:r>
              <m:t>0</m:t>
            </m:r>
          </m:sub>
        </m:sSub>
      </m:oMath>
      <w:r>
        <w:t xml:space="preserve"> </w:t>
      </w:r>
      <w:r>
        <w:t xml:space="preserve">e</w:t>
      </w:r>
      <w:r>
        <w:t xml:space="preserve"> </w:t>
      </w:r>
      <m:oMath>
        <m:r>
          <m:t>ρ</m:t>
        </m:r>
      </m:oMath>
      <w:r>
        <w:t xml:space="preserve"> </w:t>
      </w:r>
      <w:r>
        <w:t xml:space="preserve">são hipóteses, a calibrar com os dados pedidos.</w:t>
      </w:r>
    </w:p>
    <w:p>
      <w:pPr>
        <w:pStyle w:val="BodyText"/>
        <w:keepNext/>
      </w:pPr>
      <w:r>
        <w:rPr>
          <w:b/>
          <w:bCs/>
        </w:rPr>
        <w:t xml:space="preserve">Tabela 2 – Efeito mínimo detectável por pergunta (pontos percentuais)</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3615"/>
        <w:gridCol w:w="1807"/>
        <w:gridCol w:w="1721"/>
        <w:gridCol w:w="774"/>
      </w:tblGrid>
      <w:tr>
        <w:trPr>
          <w:tblHeader w:val="on"/>
          <w:tblHeader w:val="true"/>
        </w:trPr>
        <w:tc>
          <w:tcPr/>
          <w:p>
            <w:pPr>
              <w:pStyle w:val="Compact"/>
              <w:keepNext/>
              <w:spacing w:after="0" w:before="0"/>
              <w:jc w:val="left"/>
            </w:pPr>
            <w:r>
              <w:rPr>
                <w:b/>
                <w:sz w:val="20"/>
              </w:rPr>
              <w:t xml:space="preserve">Pergunta e comparação</w:t>
            </w:r>
          </w:p>
        </w:tc>
        <w:tc>
          <w:tcPr/>
          <w:p>
            <w:pPr>
              <w:pStyle w:val="Compact"/>
              <w:keepNext/>
              <w:spacing w:after="0" w:before="0"/>
              <w:jc w:val="left"/>
            </w:pPr>
            <w:r>
              <w:rPr>
                <w:b/>
                <w:sz w:val="20"/>
              </w:rPr>
              <w:t xml:space="preserve">Unidades</w:t>
            </w:r>
          </w:p>
        </w:tc>
        <w:tc>
          <w:tcPr/>
          <w:p>
            <w:pPr>
              <w:pStyle w:val="Compact"/>
              <w:keepNext/>
              <w:spacing w:after="0" w:before="0"/>
              <w:jc w:val="left"/>
            </w:pPr>
            <w:r>
              <w:rPr>
                <w:b/>
                <w:sz w:val="20"/>
              </w:rPr>
              <w:t xml:space="preserve">Cenários</w:t>
            </w:r>
          </w:p>
        </w:tc>
        <w:tc>
          <w:tcPr/>
          <w:p>
            <w:pPr>
              <w:pStyle w:val="Compact"/>
              <w:keepNext/>
              <w:spacing w:after="0" w:before="0"/>
              <w:jc w:val="left"/>
            </w:pPr>
            <w:r>
              <w:rPr>
                <w:b/>
                <w:sz w:val="20"/>
              </w:rPr>
              <w:t xml:space="preserve">EMD</w:t>
            </w:r>
          </w:p>
        </w:tc>
      </w:tr>
      <w:tr>
        <w:tc>
          <w:tcPr/>
          <w:p>
            <w:pPr>
              <w:pStyle w:val="Compact"/>
              <w:keepNext/>
              <w:spacing w:after="0" w:before="0"/>
              <w:jc w:val="left"/>
            </w:pPr>
            <w:r>
              <w:rPr>
                <w:sz w:val="20"/>
              </w:rPr>
              <w:t xml:space="preserve">H1b: captou × expirou, 2022-2024</w:t>
            </w:r>
          </w:p>
        </w:tc>
        <w:tc>
          <w:tcPr/>
          <w:p>
            <w:pPr>
              <w:pStyle w:val="Compact"/>
              <w:keepNext/>
              <w:spacing w:after="0" w:before="0"/>
              <w:jc w:val="left"/>
            </w:pPr>
            <w:r>
              <w:rPr>
                <w:sz w:val="20"/>
              </w:rPr>
              <w:t xml:space="preserve">293 projetos (</w:t>
            </w:r>
            <w:r>
              <w:rPr>
                <w:i/>
                <w:iCs/>
                <w:sz w:val="20"/>
              </w:rPr>
              <w:t xml:space="preserve">T</w:t>
            </w:r>
            <w:r>
              <w:rPr>
                <w:sz w:val="20"/>
              </w:rPr>
              <w:t xml:space="preserve"> </w:t>
            </w:r>
            <w:r>
              <w:rPr>
                <w:sz w:val="20"/>
              </w:rPr>
              <w:t xml:space="preserve">= 0,68), 172 proponentes (</w:t>
            </w:r>
            <m:oMath>
              <m:acc>
                <m:accPr>
                  <m:chr m:val="‾"/>
                </m:accPr>
                <m:e>
                  <m:r>
                    <m:t>m</m:t>
                  </m:r>
                </m:e>
              </m:acc>
            </m:oMath>
            <w:r>
              <w:rPr>
                <w:sz w:val="20"/>
              </w:rPr>
              <w:t xml:space="preserve"> </w:t>
            </w:r>
            <w:r>
              <w:rPr>
                <w:sz w:val="20"/>
              </w:rPr>
              <w:t xml:space="preserve">= 1,70;</w:t>
            </w:r>
            <w:r>
              <w:rPr>
                <w:sz w:val="20"/>
              </w:rPr>
              <w:t xml:space="preserve"> </w:t>
            </w:r>
            <w:r>
              <w:rPr>
                <w:i/>
                <w:iCs/>
                <w:sz w:val="20"/>
              </w:rPr>
              <w:t xml:space="preserve">cv</w:t>
            </w:r>
            <w:r>
              <w:rPr>
                <w:sz w:val="20"/>
              </w:rPr>
              <w:t xml:space="preserve"> </w:t>
            </w:r>
            <w:r>
              <w:rPr>
                <w:sz w:val="20"/>
              </w:rPr>
              <w:t xml:space="preserve">= 0,75)</w:t>
            </w:r>
          </w:p>
        </w:tc>
        <w:tc>
          <w:tcPr/>
          <w:p>
            <w:pPr>
              <w:pStyle w:val="Compact"/>
              <w:keepNext/>
              <w:spacing w:after="0" w:before="0"/>
              <w:jc w:val="left"/>
            </w:pPr>
            <m:oMath>
              <m:sSub>
                <m:e>
                  <m:r>
                    <m:t>p</m:t>
                  </m:r>
                </m:e>
                <m:sub>
                  <m:r>
                    <m:t>0</m:t>
                  </m:r>
                </m:sub>
              </m:sSub>
            </m:oMath>
            <w:r>
              <w:rPr>
                <w:sz w:val="20"/>
              </w:rPr>
              <w:t xml:space="preserve"> </w:t>
            </w:r>
            <w:r>
              <w:rPr>
                <w:sz w:val="20"/>
              </w:rPr>
              <w:t xml:space="preserve">de 0,2 a 0,6; ρ = 0 ou 0,2</w:t>
            </w:r>
          </w:p>
        </w:tc>
        <w:tc>
          <w:tcPr/>
          <w:p>
            <w:pPr>
              <w:pStyle w:val="Compact"/>
              <w:keepNext/>
              <w:spacing w:after="0" w:before="0"/>
              <w:jc w:val="left"/>
            </w:pPr>
            <w:r>
              <w:rPr>
                <w:sz w:val="20"/>
              </w:rPr>
              <w:t xml:space="preserve">14 a 20</w:t>
            </w:r>
          </w:p>
        </w:tc>
      </w:tr>
      <w:tr>
        <w:tc>
          <w:tcPr/>
          <w:p>
            <w:pPr>
              <w:pStyle w:val="Compact"/>
              <w:keepNext/>
              <w:spacing w:after="0" w:before="0"/>
              <w:jc w:val="left"/>
            </w:pPr>
            <w:r>
              <w:rPr>
                <w:sz w:val="20"/>
              </w:rPr>
              <w:t xml:space="preserve">H1b: margem do racionamento, 2023-2024</w:t>
            </w:r>
          </w:p>
        </w:tc>
        <w:tc>
          <w:tcPr/>
          <w:p>
            <w:pPr>
              <w:pStyle w:val="Compact"/>
              <w:keepNext/>
              <w:spacing w:after="0" w:before="0"/>
              <w:jc w:val="left"/>
            </w:pPr>
            <w:r>
              <w:rPr>
                <w:sz w:val="20"/>
              </w:rPr>
              <w:t xml:space="preserve">32 recusados × 32 validados antes do esgotamento</w:t>
            </w:r>
          </w:p>
        </w:tc>
        <w:tc>
          <w:tcPr/>
          <w:p>
            <w:pPr>
              <w:pStyle w:val="Compact"/>
              <w:keepNext/>
              <w:spacing w:after="0" w:before="0"/>
              <w:jc w:val="left"/>
            </w:pPr>
            <m:oMath>
              <m:sSub>
                <m:e>
                  <m:r>
                    <m:t>p</m:t>
                  </m:r>
                </m:e>
                <m:sub>
                  <m:r>
                    <m:t>0</m:t>
                  </m:r>
                </m:sub>
              </m:sSub>
            </m:oMath>
            <w:r>
              <w:rPr>
                <w:sz w:val="20"/>
              </w:rPr>
              <w:t xml:space="preserve"> </w:t>
            </w:r>
            <w:r>
              <w:rPr>
                <w:sz w:val="20"/>
              </w:rPr>
              <w:t xml:space="preserve">de 0,2 a 0,6</w:t>
            </w:r>
          </w:p>
        </w:tc>
        <w:tc>
          <w:tcPr/>
          <w:p>
            <w:pPr>
              <w:pStyle w:val="Compact"/>
              <w:keepNext/>
              <w:spacing w:after="0" w:before="0"/>
              <w:jc w:val="left"/>
            </w:pPr>
            <w:r>
              <w:rPr>
                <w:sz w:val="20"/>
              </w:rPr>
              <w:t xml:space="preserve">28 a 34</w:t>
            </w:r>
          </w:p>
        </w:tc>
      </w:tr>
      <w:tr>
        <w:tc>
          <w:tcPr/>
          <w:p>
            <w:pPr>
              <w:pStyle w:val="Compact"/>
              <w:keepNext/>
              <w:spacing w:after="0" w:before="0"/>
              <w:jc w:val="left"/>
            </w:pPr>
            <w:r>
              <w:rPr>
                <w:sz w:val="20"/>
              </w:rPr>
              <w:t xml:space="preserve">H3: oferta por município, só coletivos</w:t>
            </w:r>
          </w:p>
        </w:tc>
        <w:tc>
          <w:tcPr/>
          <w:p>
            <w:pPr>
              <w:pStyle w:val="Compact"/>
              <w:keepNext/>
              <w:spacing w:after="0" w:before="0"/>
              <w:jc w:val="left"/>
            </w:pPr>
            <w:r>
              <w:rPr>
                <w:sz w:val="20"/>
              </w:rPr>
              <w:t xml:space="preserve">52 municípios, 257 coletivos (</w:t>
            </w:r>
            <m:oMath>
              <m:acc>
                <m:accPr>
                  <m:chr m:val="‾"/>
                </m:accPr>
                <m:e>
                  <m:r>
                    <m:t>m</m:t>
                  </m:r>
                </m:e>
              </m:acc>
            </m:oMath>
            <w:r>
              <w:rPr>
                <w:sz w:val="20"/>
              </w:rPr>
              <w:t xml:space="preserve"> </w:t>
            </w:r>
            <w:r>
              <w:rPr>
                <w:sz w:val="20"/>
              </w:rPr>
              <w:t xml:space="preserve">= 4,9;</w:t>
            </w:r>
            <w:r>
              <w:rPr>
                <w:sz w:val="20"/>
              </w:rPr>
              <w:t xml:space="preserve"> </w:t>
            </w:r>
            <w:r>
              <w:rPr>
                <w:i/>
                <w:iCs/>
                <w:sz w:val="20"/>
              </w:rPr>
              <w:t xml:space="preserve">cv</w:t>
            </w:r>
            <w:r>
              <w:rPr>
                <w:sz w:val="20"/>
              </w:rPr>
              <w:t xml:space="preserve"> </w:t>
            </w:r>
            <w:r>
              <w:rPr>
                <w:sz w:val="20"/>
              </w:rPr>
              <w:t xml:space="preserve">= 1,32)</w:t>
            </w:r>
          </w:p>
        </w:tc>
        <w:tc>
          <w:tcPr/>
          <w:p>
            <w:pPr>
              <w:pStyle w:val="Compact"/>
              <w:keepNex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keepNext/>
              <w:spacing w:after="0" w:before="0"/>
              <w:jc w:val="left"/>
            </w:pPr>
            <w:r>
              <w:rPr>
                <w:sz w:val="20"/>
              </w:rPr>
              <w:t xml:space="preserve">5,5 a 13,4</w:t>
            </w:r>
          </w:p>
        </w:tc>
      </w:tr>
      <w:tr>
        <w:tc>
          <w:tcPr/>
          <w:p>
            <w:pPr>
              <w:pStyle w:val="Compact"/>
              <w:spacing w:after="0" w:before="0"/>
              <w:jc w:val="left"/>
            </w:pPr>
            <w:r>
              <w:rPr>
                <w:sz w:val="20"/>
              </w:rPr>
              <w:t xml:space="preserve">H3: oferta por município, todos os agentes</w:t>
            </w:r>
          </w:p>
        </w:tc>
        <w:tc>
          <w:tcPr/>
          <w:p>
            <w:pPr>
              <w:pStyle w:val="Compact"/>
              <w:spacing w:after="0" w:before="0"/>
              <w:jc w:val="left"/>
            </w:pPr>
            <w:r>
              <w:rPr>
                <w:sz w:val="20"/>
              </w:rPr>
              <w:t xml:space="preserve">71 municípios, 2.389 agentes (</w:t>
            </w:r>
            <m:oMath>
              <m:acc>
                <m:accPr>
                  <m:chr m:val="‾"/>
                </m:accPr>
                <m:e>
                  <m:r>
                    <m:t>m</m:t>
                  </m:r>
                </m:e>
              </m:acc>
            </m:oMath>
            <w:r>
              <w:rPr>
                <w:sz w:val="20"/>
              </w:rPr>
              <w:t xml:space="preserve"> </w:t>
            </w:r>
            <w:r>
              <w:rPr>
                <w:sz w:val="20"/>
              </w:rPr>
              <w:t xml:space="preserve">= 33,6;</w:t>
            </w:r>
            <w:r>
              <w:rPr>
                <w:sz w:val="20"/>
              </w:rPr>
              <w:t xml:space="preserve"> </w:t>
            </w:r>
            <w:r>
              <w:rPr>
                <w:i/>
                <w:iCs/>
                <w:sz w:val="20"/>
              </w:rPr>
              <w:t xml:space="preserve">cv</w:t>
            </w:r>
            <w:r>
              <w:rPr>
                <w:sz w:val="20"/>
              </w:rPr>
              <w:t xml:space="preserve"> </w:t>
            </w:r>
            <w:r>
              <w:rPr>
                <w:sz w:val="20"/>
              </w:rPr>
              <w:t xml:space="preserve">= 1,43)</w:t>
            </w:r>
          </w:p>
        </w:tc>
        <w:tc>
          <w:tcPr/>
          <w:p>
            <w:pPr>
              <w:pStyle w:val="Compact"/>
              <w:spacing w:after="0" w:before="0"/>
              <w:jc w:val="left"/>
            </w:pPr>
            <m:oMath>
              <m:sSub>
                <m:e>
                  <m:r>
                    <m:t>p</m:t>
                  </m:r>
                </m:e>
                <m:sub>
                  <m:r>
                    <m:t>0</m:t>
                  </m:r>
                </m:sub>
              </m:sSub>
            </m:oMath>
            <w:r>
              <w:rPr>
                <w:sz w:val="20"/>
              </w:rPr>
              <w:t xml:space="preserve"> </w:t>
            </w:r>
            <w:r>
              <w:rPr>
                <w:sz w:val="20"/>
              </w:rPr>
              <w:t xml:space="preserve">de 2% a 10%; ρ de 0,02 a 0,05</w:t>
            </w:r>
          </w:p>
        </w:tc>
        <w:tc>
          <w:tcPr/>
          <w:p>
            <w:pPr>
              <w:pStyle w:val="Compact"/>
              <w:spacing w:after="0" w:before="0"/>
              <w:jc w:val="left"/>
            </w:pPr>
            <w:r>
              <w:rPr>
                <w:sz w:val="20"/>
              </w:rPr>
              <w:t xml:space="preserve">2,8 a 8,5</w:t>
            </w:r>
          </w:p>
        </w:tc>
      </w:tr>
    </w:tbl>
    <w:p>
      <w:pPr>
        <w:pStyle w:val="BodyText"/>
      </w:pPr>
      <w:r>
        <w:rPr>
          <w:sz w:val="20"/>
        </w:rPr>
        <w:t xml:space="preserve">Fonte: elaboração própria;</w:t>
      </w:r>
      <w:r>
        <w:rPr>
          <w:sz w:val="20"/>
        </w:rPr>
        <w:t xml:space="preserve"> </w:t>
      </w:r>
      <w:r>
        <w:rPr>
          <w:rStyle w:val="VerbatimChar"/>
          <w:sz w:val="20"/>
        </w:rPr>
        <w:t xml:space="preserve">analise/tabelas/07_poder_hipoteses.csv</w:t>
      </w:r>
      <w:r>
        <w:rPr>
          <w:sz w:val="20"/>
        </w:rPr>
        <w:t xml:space="preserve"> </w:t>
      </w:r>
      <w:r>
        <w:rPr>
          <w:sz w:val="20"/>
        </w:rPr>
        <w:t xml:space="preserve">e</w:t>
      </w:r>
      <w:r>
        <w:rPr>
          <w:sz w:val="20"/>
        </w:rPr>
        <w:t xml:space="preserve"> </w:t>
      </w:r>
      <w:r>
        <w:rPr>
          <w:rStyle w:val="VerbatimChar"/>
          <w:sz w:val="20"/>
        </w:rPr>
        <w:t xml:space="preserve">07_mapa_quadro_h3.csv</w:t>
      </w:r>
      <w:r>
        <w:rPr>
          <w:sz w:val="20"/>
        </w:rPr>
        <w:t xml:space="preserve"> </w:t>
      </w:r>
      <w:r>
        <w:rPr>
          <w:sz w:val="20"/>
        </w:rPr>
        <w:t xml:space="preserve">(script</w:t>
      </w:r>
      <w:r>
        <w:rPr>
          <w:sz w:val="20"/>
        </w:rPr>
        <w:t xml:space="preserve"> </w:t>
      </w:r>
      <w:r>
        <w:rPr>
          <w:rStyle w:val="VerbatimChar"/>
          <w:sz w:val="20"/>
        </w:rPr>
        <w:t xml:space="preserve">analise/07_hipoteses_h1_h3.py</w:t>
      </w:r>
      <w:r>
        <w:rPr>
          <w:sz w:val="20"/>
        </w:rPr>
        <w:t xml:space="preserve">, com as funções de</w:t>
      </w:r>
      <w:r>
        <w:rPr>
          <w:sz w:val="20"/>
        </w:rPr>
        <w:t xml:space="preserve"> </w:t>
      </w:r>
      <w:r>
        <w:rPr>
          <w:rStyle w:val="VerbatimChar"/>
          <w:sz w:val="20"/>
        </w:rPr>
        <w:t xml:space="preserve">analise/05_poder_mde.py</w:t>
      </w:r>
      <w:r>
        <w:rPr>
          <w:sz w:val="20"/>
        </w:rPr>
        <w:t xml:space="preserve">).</w:t>
      </w:r>
    </w:p>
    <w:p>
      <w:pPr>
        <w:pStyle w:val="BodyText"/>
      </w:pPr>
      <w:r>
        <w:t xml:space="preserve">A comparação na margem do racionamento só detecta efeitos muito grandes e serve como verificação de robustez. A comparação entre quem captou e quem expirou tem poder razoável, mas seu problema é o viés, não a amostra. O desenho de H3 detecta efeitos de poucos pontos se incluir os agentes individuais, que precisariam de CNPJ (MEI) para se inscrever; só com os coletivos, o efeito mínimo passa de 5 pontos. Com poder baixo, uma estimativa</w:t>
      </w:r>
      <w:r>
        <w:t xml:space="preserve"> </w:t>
      </w:r>
      <w:r>
        <w:t xml:space="preserve">“significativa”</w:t>
      </w:r>
      <w:r>
        <w:t xml:space="preserve"> </w:t>
      </w:r>
      <w:r>
        <w:t xml:space="preserve">tende a exagerar o efeito verdadeiro (GELMAN; CARLIN, 2014), o que recomenda pré-registrar o plano de análise.</w:t>
      </w:r>
    </w:p>
    <w:bookmarkEnd w:id="24"/>
    <w:bookmarkStart w:id="25" w:name="ameaças-à-validade-e-ética"/>
    <w:p>
      <w:pPr>
        <w:pStyle w:val="Heading2"/>
      </w:pPr>
      <w:r>
        <w:t xml:space="preserve">5.5 Ameaças à validade e ética</w:t>
      </w:r>
    </w:p>
    <w:p>
      <w:pPr>
        <w:pStyle w:val="FirstParagraph"/>
      </w:pPr>
      <w:r>
        <w:t xml:space="preserve">A primeira ameaça à validade interna é a violação da hipótese de ausência de interferência entre unidades (SUTVA): com o teto fixo, o que um projeto capta falta a outro. Seguem-se a substituição (quem não capta pode executar com outra fonte; o SALIC entra como resultado), a seleção por fatores que mudam no tempo, os eventos externos do período (Lei Paulo Gustavo e Política Nacional Aldir Blanc) e o atrito dos dados: projeto sem registro não é projeto que não aconteceu. A validade externa é limitada. As comparações de H1b valem para o regime de 2022-2024, em que a habilitação precedia a busca por patrocinador. Desde 2025 essa ordem se inverteu e os expirados quase desapareceram (3 em 56 resolvidos no ciclo 2025). No plano ético, nenhum desenho nega o acesso de elegíveis à política: o apoio chega aos municípios de controle ao fim do acompanhamento (implementação gradual), o deslocamento pelo teto é um custo para terceiros que a saturação mede, e a oferta é feita pela SECULT. O uso de dados identificados exige anonimização, conforme a LGPD, e uma pesquisa com o público exigiria aprovação de comitê de ética.</w:t>
      </w:r>
    </w:p>
    <w:bookmarkEnd w:id="25"/>
    <w:bookmarkEnd w:id="26"/>
    <w:bookmarkStart w:id="27"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em que o Estado define quem pode receber e as empresas decidem quem recebe. Duas premissas de critério não são asseguradas pelo desenho: a habilitação qualifica sem priorizar, e o racionamento no teto segue o calendário dos termos. A escolha pelas empresas é contestada: o financiamento vem de poucas empresas de serviços regulados, mas sem viés territorial forte. A entrada e a entrega, os extremos da cadeia, são indeterminadas, porque a SECULT não publica os inscritos nem o público alcançado.</w:t>
      </w:r>
    </w:p>
    <w:p>
      <w:pPr>
        <w:pStyle w:val="BodyText"/>
      </w:pPr>
      <w:r>
        <w:t xml:space="preserve">Sem mexer no mecanismo, há recomendações que dependem só da gestão: declarar objetivos, metas e indicadores; publicar os inscritos e os motivos de inabilitação; publicar, por projeto, o CNPJ do proponente, a sede e a captação por cota; publicar a fila de termos, com as datas de protocolo e de validação, inclusive dos recusados; e publicar as contrapartidas executadas e o público alcançado.</w:t>
      </w:r>
    </w:p>
    <w:p>
      <w:pPr>
        <w:pStyle w:val="BodyText"/>
      </w:pPr>
      <w:r>
        <w:t xml:space="preserve">A proposta de avaliação transforma as premissas em três perguntas. A adicionalidade (H1b) é a que mais importa e a menos respondível: mais da metade dos recusados por falta de teto captou no ano seguinte, e a comparação com os que expiraram não afasta a seleção; receber × não receber exige resultado datado e a fila de termos com as datas. O efeito do atrito na entrada (H3) é identificável por uma oferta sorteada de apoio à inscrição e à busca de patrocínio, com bom poder se incluir os agentes individuais; o papel da avaliação da SECULT (H2a) fica descritivo, porque o parecer não dá nota. As limitações são as dos dados. A situação publicada serve de aproximação para a captação, a estreia é medida por nome de proponente, e o retrato territorial cobre 74% do valor.</w:t>
      </w:r>
    </w:p>
    <w:bookmarkEnd w:id="27"/>
    <w:bookmarkStart w:id="28" w:name="referências"/>
    <w:p>
      <w:pPr>
        <w:pStyle w:val="Heading1"/>
      </w:pPr>
      <w:r>
        <w:t xml:space="preserve">Referências</w:t>
      </w:r>
    </w:p>
    <w:p>
      <w:pPr>
        <w:pStyle w:val="FirstParagraph"/>
      </w:pPr>
      <w:r>
        <w:t xml:space="preserve">ALCÂNTARA, Jessica Nunes de; BENEDICTO, Gideon Carvalho de; SILVA, Sabrina Soares da. Possible key factors for Brazilian publicly traded companies to adopt a sponsorship strategy.</w:t>
      </w:r>
      <w:r>
        <w:t xml:space="preserve"> </w:t>
      </w:r>
      <w:r>
        <w:rPr>
          <w:b/>
          <w:bCs/>
        </w:rPr>
        <w:t xml:space="preserve">Journal of Strategy and Management</w:t>
      </w:r>
      <w:r>
        <w:t xml:space="preserve">, v. 12, n. 4, p. 429-446, 2019. DOI: 10.1108/JSMA-04-2018-0029.</w:t>
      </w:r>
    </w:p>
    <w:p>
      <w:pPr>
        <w:pStyle w:val="BodyText"/>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BAIRD, Sarah; BOHREN, J. Aislinn; McINTOSH, Craig; ÖZLER, Berk. Optimal design of experiments in the presence of interference.</w:t>
      </w:r>
      <w:r>
        <w:t xml:space="preserve"> </w:t>
      </w:r>
      <w:r>
        <w:rPr>
          <w:b/>
          <w:bCs/>
        </w:rPr>
        <w:t xml:space="preserve">The Review of Economics and Statistics</w:t>
      </w:r>
      <w:r>
        <w:t xml:space="preserve">, v. 100, n. 5, p. 844-860, 2018. DOI: 10.1162/rest_a_00716.</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BERTRAND, Marianne; BOMBARDINI, Matilde; FISMAN, Raymond; TREBBI, Francesco. Tax-exempt lobbying: corporate philanthropy as a tool for political influence.</w:t>
      </w:r>
      <w:r>
        <w:t xml:space="preserve"> </w:t>
      </w:r>
      <w:r>
        <w:rPr>
          <w:b/>
          <w:bCs/>
        </w:rPr>
        <w:t xml:space="preserve">American Economic Review</w:t>
      </w:r>
      <w:r>
        <w:t xml:space="preserve">, v. 110, n. 7, p. 2065-2102, 2020. DOI: 10.1257/aer.20180615.</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BRASIL. Secretaria do Tesouro Nacional.</w:t>
      </w:r>
      <w:r>
        <w:t xml:space="preserve"> </w:t>
      </w:r>
      <w:r>
        <w:rPr>
          <w:b/>
          <w:bCs/>
        </w:rPr>
        <w:t xml:space="preserve">SICONFI</w:t>
      </w:r>
      <w:r>
        <w:t xml:space="preserve">: Declaração de Contas Anuais (DCA) do Estado do Espírito Santo e de seus municípios, 2021-2025. Brasília: STN, 2026a. Disponível em: https://apidatalake.tesouro.gov.br/ords/siconfi/tt/dca. Acesso em: 23 set. 2026.</w:t>
      </w:r>
    </w:p>
    <w:p>
      <w:pPr>
        <w:pStyle w:val="BodyText"/>
      </w:pPr>
      <w:r>
        <w:t xml:space="preserve">BRASIL. Ministério da Cultura.</w:t>
      </w:r>
      <w:r>
        <w:t xml:space="preserve"> </w:t>
      </w:r>
      <w:r>
        <w:rPr>
          <w:b/>
          <w:bCs/>
        </w:rPr>
        <w:t xml:space="preserve">SALIC</w:t>
      </w:r>
      <w:r>
        <w:t xml:space="preserve">: API de dados abertos (projetos e incentivadores da Lei Rouanet). Brasília: MinC, 2026b. Disponível em: https://api.salic.cultura.gov.br/api/v1. Acesso em: 24 set. 2026.</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COLOMBO, Daniel Gama e; CRUZ, Hélio Nogueira da. Impact assessment of innovation tax incentives in Brazil.</w:t>
      </w:r>
      <w:r>
        <w:t xml:space="preserve"> </w:t>
      </w:r>
      <w:r>
        <w:rPr>
          <w:b/>
          <w:bCs/>
        </w:rPr>
        <w:t xml:space="preserve">Innovation &amp; Management Review</w:t>
      </w:r>
      <w:r>
        <w:t xml:space="preserve">, v. 20, n. 1, p. 28-42, 2023. DOI: 10.1108/INMR-11-2020-0167.</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FINKELSTEIN, Amy; NOTOWIDIGDO, Matthew J. Take-up and targeting: experimental evidence from SNAP.</w:t>
      </w:r>
      <w:r>
        <w:t xml:space="preserve"> </w:t>
      </w:r>
      <w:r>
        <w:rPr>
          <w:b/>
          <w:bCs/>
        </w:rPr>
        <w:t xml:space="preserve">The Quarterly Journal of Economics</w:t>
      </w:r>
      <w:r>
        <w:t xml:space="preserve">, v. 134, n. 3, p. 1505-1556, 2019. DOI: 10.1093/qje/qjz013.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MAYNE, John. Useful theory of change models.</w:t>
      </w:r>
      <w:r>
        <w:t xml:space="preserve"> </w:t>
      </w:r>
      <w:r>
        <w:rPr>
          <w:b/>
          <w:bCs/>
        </w:rPr>
        <w:t xml:space="preserve">Canadian Journal of Program Evaluation</w:t>
      </w:r>
      <w:r>
        <w:t xml:space="preserve">, v. 30, n. 2, p. 119-142, 2015. DOI: 10.3138/cjpe.230.</w:t>
      </w:r>
    </w:p>
    <w:p>
      <w:pPr>
        <w:pStyle w:val="BodyText"/>
      </w:pPr>
      <w:r>
        <w:t xml:space="preserve">MOYNIHAN, Donald; HERD, Pamela; HARVEY, Hope. Administrative burden: learning, psychological, and compliance costs in citizen-state interactions.</w:t>
      </w:r>
      <w:r>
        <w:t xml:space="preserve"> </w:t>
      </w:r>
      <w:r>
        <w:rPr>
          <w:b/>
          <w:bCs/>
        </w:rPr>
        <w:t xml:space="preserve">Journal of Public Administration Research and Theory</w:t>
      </w:r>
      <w:r>
        <w:t xml:space="preserve">, v. 25, n. 1, p. 43-69, 2015. DOI: 10.1093/jopart/muu009.</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2023a. Disponível em: https://secult.es.gov.br/instrucao-normativa-licc-2023. Acesso em: 24 set. 2026.</w:t>
      </w:r>
    </w:p>
    <w:p>
      <w:pPr>
        <w:pStyle w:val="BodyText"/>
      </w:pPr>
      <w:r>
        <w:t xml:space="preserve">SECULT – SECRETARIA DE ESTADO DA CULTURA DO ESPÍRITO SANTO. Regimento interno da Comissão de Avaliação Permanente (CAP) da Lei de Incentivo à Cultura Capixaba.</w:t>
      </w:r>
      <w:r>
        <w:t xml:space="preserve"> </w:t>
      </w:r>
      <w:r>
        <w:rPr>
          <w:b/>
          <w:bCs/>
        </w:rPr>
        <w:t xml:space="preserve">Diário Oficial dos Poderes do Estado</w:t>
      </w:r>
      <w:r>
        <w:t xml:space="preserve">, Vitória, 16 fev. 2023b. Disponível em: https://secult.es.gov.br/legislacao-licc. Acesso em: 23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Cultura em Dados</w:t>
      </w:r>
      <w:r>
        <w:t xml:space="preserve">: evento apresenta resultados de pesquisa sobre a Lei de Incentivo à Cultura Capixaba (LICC) e o Boletim da Economia Criativa. Vitória: SECULT, 2026d. Disponível em: https://secult.es.gov.br/cultura-em-dados-evento-apresenta-resultados-de-pesquisa-sobre-a-lei-de-incentivo-a-cultura-capixaba-licc-e-o-boletim-da-economia-criativa. Acesso em: 24 set. 2026.</w:t>
      </w:r>
    </w:p>
    <w:p>
      <w:pPr>
        <w:pStyle w:val="BodyText"/>
      </w:pPr>
      <w:r>
        <w:t xml:space="preserve">SECULT – SECRETARIA DE ESTADO DA CULTURA DO ESPÍRITO SANTO.</w:t>
      </w:r>
      <w:r>
        <w:t xml:space="preserve"> </w:t>
      </w:r>
      <w:r>
        <w:rPr>
          <w:b/>
          <w:bCs/>
        </w:rPr>
        <w:t xml:space="preserve">Mapa Cultural do Espírito Santo</w:t>
      </w:r>
      <w:r>
        <w:t xml:space="preserve">: API pública de agentes e oportunidades (inclusive as fases de avaliação da LICC). Vitória: SECULT, 2026e. Disponível em: https://mapa.cultura.es.gov.br. Acesso em: 24 set. 2026.</w:t>
      </w:r>
    </w:p>
    <w:p>
      <w:pPr>
        <w:pStyle w:val="BodyText"/>
      </w:pPr>
      <w:r>
        <w:t xml:space="preserve">SECULT – SECRETARIA DE ESTADO DA CULTURA DO ESPÍRITO SANTO.</w:t>
      </w:r>
      <w:r>
        <w:t xml:space="preserve"> </w:t>
      </w:r>
      <w:r>
        <w:rPr>
          <w:b/>
          <w:bCs/>
        </w:rPr>
        <w:t xml:space="preserve">Parecer técnico cultural LICC</w:t>
      </w:r>
      <w:r>
        <w:t xml:space="preserve">: modelo padrão. Vitória: SECULT, 2026f. Disponível em: https://secult.es.gov.br/LICC.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p>
      <w:pPr>
        <w:pStyle w:val="BodyText"/>
      </w:pPr>
      <w:r>
        <w:t xml:space="preserve">WILLIAMS, Martin J. External validity and policy adaptation: from impact evaluation to policy design.</w:t>
      </w:r>
      <w:r>
        <w:t xml:space="preserve"> </w:t>
      </w:r>
      <w:r>
        <w:rPr>
          <w:b/>
          <w:bCs/>
        </w:rPr>
        <w:t xml:space="preserve">The World Bank Research Observer</w:t>
      </w:r>
      <w:r>
        <w:t xml:space="preserve">, v. 35, n. 2, p. 158-191, 2020. DOI: 10.1093/wbro/lky010.</w:t>
      </w:r>
    </w:p>
    <w:bookmarkEnd w:id="28"/>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e o anexo de captação da SECULT informa R$ 15 milhões disponíveis (R$ 11,5 milhões validados). Sem o ato de ampliação, o montante de 2022 fica indeterminado entre os dois valores.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w:t>
      </w:r>
      <w:r>
        <w:t xml:space="preserve">, de 2022 a 2026), de bases públicas do IBGE, do Tesouro Nacional (SICONFI) e do Ministério da Cultura (SALIC). Quatro processos aparecem em dois ciclos: são 463 processos e 467 registros por ciclo. A lista de habilitados foi transcrita na versão disponível em 3 set. 2026 (repositório licc.gov); a SECULT atualizou o arquivo em 10 set. 2026, e os status publicados podem ter mudado desde então. Dados, scripts e tabelas estão em</w:t>
      </w:r>
      <w:r>
        <w:t xml:space="preserve"> </w:t>
      </w:r>
      <w:hyperlink r:id="rId11">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8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8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8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1"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2026-09-24T15:36:30Z</dcterms:created>
  <dcterms:modified xsi:type="dcterms:W3CDTF">2026-09-24T15:36:30Z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