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Felipe Carvalho Souza Santos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Avalia-se o desenho como ele está, com a auditoria de cinco premissas da teoria da mudança a partir de normas, anexos oficiais e atas da comissão de 2022 a 2026, e estrutura-se uma avaliação de impacto. A escolha não se mostra orientada pelo valor público: duas empresas respondem por metade da renúncia de 2025, e as peças de comunicação dos projetos trazem a marca do patrocinador.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A entrega é indeterminada, porque a SECULT não publica o público alcançado. Propõem-se quatro perguntas de avaliação, com estratégias, dados e poder estatístico, entre elas um experimento conjunto com decisores de empresas.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como o mecanismo passou a ser chamado no regulamento (ESPÍRITO SANTO, 2021b), cresceu rapidamente: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no máximo R$ 111 milhões.</w:t>
      </w:r>
      <w:r>
        <w:rPr>
          <w:rStyle w:val="FootnoteReference"/>
        </w:rPr>
        <w:footnoteReference w:id="10"/>
      </w:r>
    </w:p>
    <w:p>
      <w:pPr>
        <w:pStyle w:val="BodyText"/>
      </w:pPr>
      <w:r>
        <w:t xml:space="preserve">Nenhuma norma da LICC declara o problema que ela enfrenta; o diagnóstico precisa ser reconstruído. 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BodyText"/>
      </w:pPr>
      <w:r>
        <w:t xml:space="preserve">A avaliação da LICC se justifica por três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 Terceiro, a política é nova e muda de regra a cada ano.</w:t>
      </w:r>
    </w:p>
    <w:p>
      <w:pPr>
        <w:pStyle w:val="BodyText"/>
      </w:pP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usual é de falha de mercado: a produtividade estagnada das artes ao vivo (BAUMOL; BOWEN, 1966) e os benefícios que a cultura gera também para quem não a consome, que fazem dela bem público ou meritório (THROSBY, 1994).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 Nesse espectro de subsídios, o crédito de 100% da LICC ocupa o extremo: o doador não tem custo líquido algum. Sem custo, não há efeito-preço sobre o patrocínio, e restam duas margens: a troca de fonte (a empresa paga com ICMS o patrocínio que já faria com verba própria ou pela Rouanet) e o efeito sobre o projeto.</w:t>
      </w:r>
    </w:p>
    <w:p>
      <w:pPr>
        <w:pStyle w:val="BodyText"/>
      </w:pP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O Tribunal de Contas da União recomendou objetivos, indicadores e metas para as renúncias (BRASIL, 2014) e determinou que não se autorizasse captação a projetos com forte potencial lucrativo ou capacidade de atrair investimento privado (BRASIL, 2016).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do Brasil, os créditos estaduais ao audiovisual nos Estados Unidos têm efeitos pequenos, restritos à própria atividade incentivada (THOM, 2018). Para a LICC, que financia produções dispersas, os efeitos plausíveis são proximais e pequenos.</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nenhuma norma da LICC explicita como ela produziria resultados, a teoria da mudança (Figura 1) é reconstruída pelos cinco passos do J-PAL: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 Por isso a Figura 1 separa três cadeias, como recomendam White e Raitzer (2017): a entrada, o financiamento e a entrega, e indica quem decide em cada elo.</w:t>
      </w:r>
    </w:p>
    <w:p>
      <w:pPr>
        <w:pStyle w:val="BodyText"/>
      </w:pP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 com as premissas testadas</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 nem ao padrão do TCU para renúncias, com objetivos, indicadores e metas (BRASIL, 2014).</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Auditoria das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trata de H1, H2, H4 e H5 e deixa H3 em aberto.</w:t>
      </w:r>
    </w:p>
    <w:bookmarkEnd w:id="23"/>
    <w:bookmarkEnd w:id="24"/>
    <w:bookmarkStart w:id="37"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As premissas do Quadro 2 convertem-se em perguntas de pesquisa: quatro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BodyText"/>
        <w:keepNext/>
      </w:pPr>
      <w:r>
        <w:rPr>
          <w:b/>
        </w:rPr>
        <w:t>Quadro 3</w:t>
      </w:r>
      <w:r>
        <w:rPr>
          <w:b w:val="0"/>
        </w:rPr>
        <w:t xml:space="preserve"> – Perguntas de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Viés da comparação simples</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Projeto na margem do teto;</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acontece em janela fixa após o protocolo (agenda, Diário Oficial); público</w:t>
            </w:r>
          </w:p>
        </w:tc>
        <w:tc>
          <w:tcPr/>
          <w:p>
            <w:pPr>
              <w:pStyle w:val="Compact"/>
              <w:spacing w:after="0" w:before="0"/>
              <w:jc w:val="left"/>
            </w:pPr>
            <w:r>
              <w:rPr>
                <w:sz w:val="20"/>
              </w:rPr>
              <w:t xml:space="preserve">Efeito de receber agora, na margem; fora dela, efeito médio sobre os tratados (EMPT)</w:t>
            </w:r>
          </w:p>
        </w:tc>
        <w:tc>
          <w:tcPr/>
          <w:p>
            <w:pPr>
              <w:pStyle w:val="Compact"/>
              <w:spacing w:after="0" w:before="0"/>
              <w:jc w:val="left"/>
            </w:pPr>
            <w:r>
              <w:rPr>
                <w:i/>
                <w:iCs/>
                <w:sz w:val="20"/>
              </w:rPr>
              <w:t xml:space="preserve">Y</w:t>
            </w:r>
            <w:r>
              <w:rPr>
                <w:sz w:val="20"/>
              </w:rPr>
              <w:t xml:space="preserve">(0) maior entre os escolhidos pela empresa: viés de seleção positivo</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marca ou valor público?</w:t>
            </w:r>
          </w:p>
        </w:tc>
        <w:tc>
          <w:tcPr/>
          <w:p>
            <w:pPr>
              <w:pStyle w:val="Compact"/>
              <w:spacing w:after="0" w:before="0"/>
              <w:jc w:val="left"/>
            </w:pPr>
            <w:r>
              <w:rPr>
                <w:sz w:val="20"/>
              </w:rPr>
              <w:t xml:space="preserve">Decisor de empresa;</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w:t>
            </w:r>
          </w:p>
        </w:tc>
        <w:tc>
          <w:tcPr/>
          <w:p>
            <w:pPr>
              <w:pStyle w:val="Compact"/>
              <w:spacing w:after="0" w:before="0"/>
              <w:jc w:val="left"/>
            </w:pPr>
            <w:r>
              <w:rPr>
                <w:sz w:val="20"/>
              </w:rPr>
              <w:t xml:space="preserve">Visibilidade e valor público andam juntos: confundimento</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O parecer favorável muda o destino do projeto?</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parecer favorável;</w:t>
            </w:r>
            <w:r>
              <w:rPr>
                <w:sz w:val="20"/>
              </w:rPr>
              <w:t xml:space="preserve"> </w:t>
            </w:r>
            <w:r>
              <w:rPr>
                <w:i/>
                <w:iCs/>
                <w:sz w:val="20"/>
              </w:rPr>
              <w:t xml:space="preserve">Y</w:t>
            </w:r>
            <w:r>
              <w:rPr>
                <w:sz w:val="20"/>
              </w:rPr>
              <w:t xml:space="preserve"> </w:t>
            </w:r>
            <w:r>
              <w:rPr>
                <w:sz w:val="20"/>
              </w:rPr>
              <w:t xml:space="preserve">= captou, realizou</w:t>
            </w:r>
          </w:p>
        </w:tc>
        <w:tc>
          <w:tcPr/>
          <w:p>
            <w:pPr>
              <w:pStyle w:val="Compact"/>
              <w:spacing w:after="0" w:before="0"/>
              <w:jc w:val="left"/>
            </w:pPr>
            <w:r>
              <w:rPr>
                <w:sz w:val="20"/>
              </w:rPr>
              <w:t xml:space="preserve">Efeito local, se a designação do parecerista for como sorteio; senão, descritivo</w:t>
            </w:r>
          </w:p>
        </w:tc>
        <w:tc>
          <w:tcPr/>
          <w:p>
            <w:pPr>
              <w:pStyle w:val="Compact"/>
              <w:spacing w:after="0" w:before="0"/>
              <w:jc w:val="left"/>
            </w:pPr>
            <w:r>
              <w:rPr>
                <w:sz w:val="20"/>
              </w:rPr>
              <w:t xml:space="preserve">Sem nota não há corte; a designação por ordem e área é a variação candidata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promoção aleatória, experimento com decisores, variáveis instrumentais e diferenças em diferenças. O sorteio mudaria a regra de alocação e fica fora do escopo.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 As duas leituras valem se a ordem de validação não se ligar ao projeto, o que as datas de protocolo permitem testar.</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É uma pergunta de mecanismo: aplicados aos habilitados, os pesos estimados indicam o que fica sem patrocínio (o pequeno, o gratuito, o do interior), a confrontar com H4 e H5.</w:t>
      </w:r>
    </w:p>
    <w:p>
      <w:pPr>
        <w:pStyle w:val="Compact"/>
        <w:numPr>
          <w:ilvl w:val="0"/>
          <w:numId w:val="1001"/>
        </w:numPr>
      </w:pP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 A promoção estima o efeito da oferta e, para quem responde a ela, o efeito local (ANGRIST; IMBENS; RUBIN, 1996). 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0"/>
          <w:numId w:val="1001"/>
        </w:numPr>
      </w:pPr>
      <w:r>
        <w:rPr>
          <w:b/>
          <w:bCs/>
        </w:rPr>
        <w:t xml:space="preserve">H2.</w:t>
      </w:r>
      <w:r>
        <w:t xml:space="preserve"> </w:t>
      </w:r>
      <w:r>
        <w:t xml:space="preserve">Sem nota, não há corte para regressão descontínua, mas os projetos são distribuídos aos pareceristas por ordem de inscrição e área (SECULT, 2025c). 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pela Lei de Acesso à Informação (LAI). Como são 41 pareceristas credenciados, de 4 a 20 por área, o instrumento por área é fraco, e o desenho fica exploratório, com áreas afins agrupadas.</w:t>
      </w:r>
    </w:p>
    <w:p>
      <w:pPr>
        <w:pStyle w:val="FirstParagraph"/>
      </w:pPr>
      <w:r>
        <w:rPr>
          <w:b/>
          <w:bCs/>
        </w:rPr>
        <w:t xml:space="preserve">O que fica aberto.</w:t>
      </w:r>
      <w:r>
        <w:t xml:space="preserve"> </w:t>
      </w:r>
      <w:r>
        <w:t xml:space="preserve">Regressão descontínua no tempo (protocolo em torno do esgotamento de cada cota), variáveis instrumentais (recusa pelo teto; severidade do parecerista) e, para H3, diferenças em diferenças com as regras de custo de 2025 e 2026.</w:t>
      </w:r>
    </w:p>
    <w:bookmarkEnd w:id="26"/>
    <w:bookmarkStart w:id="27" w:name="desenho-da-amostra-e-fontes-de-dados"/>
    <w:p>
      <w:pPr>
        <w:pStyle w:val="Heading2"/>
      </w:pPr>
      <w:r>
        <w:t xml:space="preserve">5.3 Desenho da amostra e fontes de dados</w:t>
      </w:r>
    </w:p>
    <w:p>
      <w:pPr>
        <w:pStyle w:val="FirstParagraph"/>
      </w:pPr>
      <w:r>
        <w:t xml:space="preserve">Para H5 e H2, trabalha-se com o universo, e a listagem vem dos anexos oficiais: 293 projetos habilitados em 2022-2024 com situação resolvida, de 172 proponentes, e os termos de 2023 e 2024 na margem do racionamento. 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avisos do Diário Oficial; extratos das atas da CAP</w:t>
            </w:r>
          </w:p>
        </w:tc>
        <w:tc>
          <w:tcPr/>
          <w:p>
            <w:pPr>
              <w:pStyle w:val="Compact"/>
              <w:spacing w:after="0" w:before="0"/>
              <w:jc w:val="left"/>
            </w:pPr>
            <w:r>
              <w:rPr>
                <w:sz w:val="20"/>
              </w:rPr>
              <w:t xml:space="preserve">Status, valores e patrocinador; CNPJ e data da habilitação; data de cada depósito (82% dos termos de 2022-2025); inabilitados</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(pública só nos validados de 2025) e de validação dos termos, cota e indeferidos</w:t>
            </w:r>
          </w:p>
        </w:tc>
        <w:tc>
          <w:tcPr/>
          <w:p>
            <w:pPr>
              <w:pStyle w:val="Compact"/>
              <w:spacing w:after="0" w:before="0"/>
              <w:jc w:val="left"/>
            </w:pPr>
            <w:r>
              <w:rPr>
                <w:sz w:val="20"/>
              </w:rPr>
              <w:t xml:space="preserve">H5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eventos datados de 18 projetos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5"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w:t>
      </w:r>
      <w:r>
        <w:rPr>
          <w:sz w:val="20"/>
        </w:rPr>
        <w:t xml:space="preserve"> </w:t>
      </w:r>
      <w:hyperlink r:id="rId30">
        <w:r>
          <w:rPr>
            <w:rStyle w:val="VerbatimChar"/>
          </w:rPr>
          <w:t xml:space="preserve">10_poder_conjoint.csv</w:t>
        </w:r>
      </w:hyperlink>
      <w:r>
        <w:rPr>
          <w:sz w:val="20"/>
        </w:rPr>
        <w:t xml:space="preserve"> </w:t>
      </w:r>
      <w:r>
        <w:rPr>
          <w:sz w:val="20"/>
        </w:rPr>
        <w:t xml:space="preserve">e</w:t>
      </w:r>
      <w:r>
        <w:rPr>
          <w:sz w:val="20"/>
        </w:rPr>
        <w:t xml:space="preserve"> </w:t>
      </w:r>
      <w:hyperlink r:id="rId31">
        <w:r>
          <w:rPr>
            <w:rStyle w:val="VerbatimChar"/>
          </w:rPr>
          <w:t xml:space="preserve">19_poder_revisao.csv</w:t>
        </w:r>
      </w:hyperlink>
      <w:r>
        <w:rPr>
          <w:sz w:val="20"/>
        </w:rPr>
        <w:t xml:space="preserve"> </w:t>
      </w:r>
      <w:r>
        <w:rPr>
          <w:sz w:val="20"/>
        </w:rPr>
        <w:t xml:space="preserve">(scripts</w:t>
      </w:r>
      <w:r>
        <w:rPr>
          <w:sz w:val="20"/>
        </w:rPr>
        <w:t xml:space="preserve"> </w:t>
      </w:r>
      <w:hyperlink r:id="rId32">
        <w:r>
          <w:rPr>
            <w:rStyle w:val="VerbatimChar"/>
          </w:rPr>
          <w:t xml:space="preserve">analise/07_hipoteses_h1_h3.py</w:t>
        </w:r>
      </w:hyperlink>
      <w:r>
        <w:rPr>
          <w:sz w:val="20"/>
        </w:rPr>
        <w:t xml:space="preserve">,</w:t>
      </w:r>
      <w:r>
        <w:rPr>
          <w:sz w:val="20"/>
        </w:rPr>
        <w:t xml:space="preserve"> </w:t>
      </w:r>
      <w:hyperlink r:id="rId33">
        <w:r>
          <w:rPr>
            <w:rStyle w:val="VerbatimChar"/>
          </w:rPr>
          <w:t xml:space="preserve">10_poder_mercado_rubricas.py</w:t>
        </w:r>
      </w:hyperlink>
      <w:r>
        <w:rPr>
          <w:sz w:val="20"/>
        </w:rPr>
        <w:t xml:space="preserve"> </w:t>
      </w:r>
      <w:r>
        <w:rPr>
          <w:sz w:val="20"/>
        </w:rPr>
        <w:t xml:space="preserve">e</w:t>
      </w:r>
      <w:r>
        <w:rPr>
          <w:sz w:val="20"/>
        </w:rPr>
        <w:t xml:space="preserve"> </w:t>
      </w:r>
      <w:hyperlink r:id="rId34">
        <w:r>
          <w:rPr>
            <w:rStyle w:val="VerbatimChar"/>
          </w:rPr>
          <w:t xml:space="preserve">19_poder_revisao.py</w:t>
        </w:r>
      </w:hyperlink>
      <w:r>
        <w:rPr>
          <w:sz w:val="20"/>
        </w:rPr>
        <w:t xml:space="preserve">).</w:t>
      </w:r>
    </w:p>
    <w:p>
      <w:pPr>
        <w:pStyle w:val="BodyText"/>
      </w:pPr>
      <w:r>
        <w:t xml:space="preserve">A comparação na margem do racionamento só detecta efeitos muito grandes, acima dos esperados (seção 3), e serve como verificação de robustez; para o efeito de receber em algum momento, o EMD divide-se pelo primeiro estágio (0,41) e vai a 69 a 84 pontos. Com os recusados de 2025 e 2026 (LAI), se dobrarem a margem, o EMD de receber agora cai para 20 a 24 pontos. O experimento conjunto detecta diferenças de 7 a 13 pontos na probabilidade de escolha com 60 decisores, e de 10 a 19 com 30. 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 Só com os coletivos, são 26 por grupo, e o efeito mínimo passa de 5 pontos. Para quem adere à oferta, o EMD é o da Tabela 2 dividido pela adesão.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5"/>
    <w:bookmarkStart w:id="36"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A validade externa é limitada: as comparações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6"/>
    <w:bookmarkEnd w:id="37"/>
    <w:bookmarkStart w:id="38"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Das quatro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8"/>
    <w:bookmarkStart w:id="58"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9">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40">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41">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2">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3">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4">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avisos de habilitação e de depósito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5">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6">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7">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8">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9">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50">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51">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2">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3">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4">
        <w:r>
          <w:rPr>
            <w:rStyle w:val="Hyperlink"/>
          </w:rPr>
          <w:t xml:space="preserve">10.20435/inter.v22i2.2965</w:t>
        </w:r>
      </w:hyperlink>
      <w:r>
        <w:t xml:space="preserve">.</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w:t>
      </w:r>
      <w:r>
        <w:t xml:space="preserve"> </w:t>
      </w:r>
      <w:hyperlink r:id="rId55">
        <w:r>
          <w:rPr>
            <w:rStyle w:val="Hyperlink"/>
          </w:rPr>
          <w:t xml:space="preserve">10.1177/0275074016651958</w:t>
        </w:r>
      </w:hyperlink>
      <w:r>
        <w:t xml:space="preserve">.</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6">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7">
        <w:r>
          <w:rPr>
            <w:rStyle w:val="Hyperlink"/>
          </w:rPr>
          <w:t xml:space="preserve">10.1093/wbro/lky010</w:t>
        </w:r>
      </w:hyperlink>
      <w:r>
        <w:t xml:space="preserve">.</w:t>
      </w:r>
    </w:p>
    <w:bookmarkEnd w:id="58"/>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valor que a lista do Portal da Transparência atribui à mesma portaria (ESPÍRITO SANTO, 2026). Sem ato de ampliação localizado, o teto de 2022 fica indeterminado.</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7"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55" Type="http://schemas.openxmlformats.org/officeDocument/2006/relationships/hyperlink" Target="https://doi.org/10.1177/0275074016651958"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6"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7"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55" Type="http://schemas.openxmlformats.org/officeDocument/2006/relationships/hyperlink" Target="https://doi.org/10.1177/0275074016651958"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6"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Felipe Carvalho Souza Santos — PPGEco/UFES, PECO 5046-6046 Avaliação de Políticas Públicas</dc:creator>
  <dc:language>pt-BR</dc:language>
  <cp:keywords/>
  <dcterms:created xsi:type="dcterms:W3CDTF">2026-09-27T20:12:59Z</dcterms:created>
  <dcterms:modified xsi:type="dcterms:W3CDTF">2026-09-27T20:12:59Z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