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Felipe Carvalho Souza Santos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 Avalia-se o desenho como ele está, com a auditoria de cinco premissas da teoria da mudança a partir de normas, anexos oficiais e atas da comissão de 2022 a 2026, e estrutura-se uma avaliação de impacto. A escolha não se mostra orientada pelo valor público: duas empresas respondem por metade da renúncia de 2025, e as peças de comunicação dos projetos trazem a marca do patrocinador. A decisão se concentra em poucos atores: a habilitação qualifica sem priorizar, e o que excede o teto é racionado pela ordem de recebimento e validação dos termos de patrocínio. Até 13% do valor captado em 2025 poderia remunerar captação e elaboração, projetos pequenos captam cada vez menos, e só pessoas jurídicas contribuintes patrocinam. A entrega é indeterminada, porque a SECULT não publica o público alcançado. Propõem-se quatro perguntas de avaliação, com estratégias, dados e poder estatístico, entre elas um experimento conjunto com decisores de empresas.</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como o mecanismo passou a ser chamado no regulamento (ESPÍRITO SANTO, 2021b), cresceu rapidamente: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 A demanda supera o teto: nos cinco ciclos de habilitação (2022-2026), 463 projetos foram autorizados a captar, somados, R$ 184 milhões (459 com valor válido), acima da soma dos tetos do período, de no máximo R$ 111 milhões.</w:t>
      </w:r>
      <w:r>
        <w:rPr>
          <w:rStyle w:val="FootnoteReference"/>
        </w:rPr>
        <w:footnoteReference w:id="10"/>
      </w:r>
    </w:p>
    <w:p>
      <w:pPr>
        <w:pStyle w:val="BodyText"/>
      </w:pPr>
      <w:r>
        <w:t xml:space="preserve">Nenhuma norma da LICC declara o problema que ela enfrenta; o diagnóstico precisa ser reconstruído. 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que o atraso está no núcleo cultural, e não na atividade criativa como um todo. A desigualdade relevante, porém, é interna: em 2021, 95% da população da Região Metropolitana da Grande Vitória (RMGV) vivia em município com cinema, contra 34% da do interior, e metade dos municípios do interior não tinha fundo municipal de cultura (IBGE, 2022). O problema é, assim,</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na dependência de poucos financiadores.</w:t>
      </w:r>
    </w:p>
    <w:p>
      <w:pPr>
        <w:pStyle w:val="BodyText"/>
      </w:pPr>
      <w:r>
        <w:t xml:space="preserve">A avaliação da LICC se justifica por três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 Terceiro, a política é nova e muda de regra a cada ano.</w:t>
      </w:r>
    </w:p>
    <w:p>
      <w:pPr>
        <w:pStyle w:val="BodyText"/>
      </w:pPr>
      <w:r>
        <w:t xml:space="preserve">O artigo tem dois objetivos: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w:t>
      </w:r>
      <w:r>
        <w:t xml:space="preserve"> </w:t>
      </w:r>
      <w:r>
        <w:rPr>
          <w:b/>
          <w:bCs/>
        </w:rPr>
        <w:t xml:space="preserve">pouca informação publicada</w:t>
      </w:r>
      <w:r>
        <w:t xml:space="preserve">: os anexos não trazem o CNPJ do proponente, a sede nem indicador de resultado, e os inabilitados só aparecem, sem motivo,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 A justificativa econômica usual é de falha de mercado: a produtividade estagnada das artes ao vivo (BAUMOL; BOWEN, 1966) e os benefícios que a cultura gera também para quem não a consome, que fazem dela bem público ou meritório (THROSBY, 1994).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padrão. Nesse espectro de subsídios, o crédito de 100% da LICC ocupa o extremo: o doador não tem custo líquido algum. Sem custo, não há efeito-preço sobre o patrocínio, e restam duas margens: a troca de fonte (a empresa paga com ICMS o patrocínio que já faria com verba própria ou pela Rouanet) e o efeito sobre o projeto.</w:t>
      </w:r>
    </w:p>
    <w:p>
      <w:pPr>
        <w:pStyle w:val="BodyText"/>
      </w:pPr>
      <w:r>
        <w:rPr>
          <w:b/>
          <w:bCs/>
        </w:rPr>
        <w:t xml:space="preserve">A experiência brasileira com a Lei Rouanet.</w:t>
      </w:r>
      <w:r>
        <w:t xml:space="preserve"> </w:t>
      </w:r>
      <w:r>
        <w:t xml:space="preserve">A LICC reproduz o núcleo do mecenato federal, que acumula três décadas de crítica: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O Tribunal de Contas da União recomendou objetivos, indicadores e metas para as renúncias (BRASIL, 2014) e determinou que não se autorizasse captação a projetos com forte potencial lucrativo ou capacidade de atrair investimento privado (BRASIL, 2016).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Não se localizou avaliação causal de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Fora do Brasil, os créditos estaduais ao audiovisual nos Estados Unidos têm efeitos pequenos, restritos à própria atividade incentivada (THOM, 2018). Para a LICC, que financia produções dispersas, os efeitos plausíveis são proximais e pequenos.</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nenhuma norma da LICC explicita como ela produziria resultados, a teoria da mudança (Figura 1) é reconstruída pelos cinco passos do J-PAL: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da agência; na LICC, o produto</w:t>
      </w:r>
      <w:r>
        <w:t xml:space="preserve"> </w:t>
      </w:r>
      <w:r>
        <w:t xml:space="preserve">“projeto patrocinado”</w:t>
      </w:r>
      <w:r>
        <w:t xml:space="preserve"> </w:t>
      </w:r>
      <w:r>
        <w:t xml:space="preserve">depende de um terceiro, a empresa. Por isso a Figura 1 separa três cadeias, como recomendam White e Raitzer (2017): a entrada, o financiamento e a entrega, e indica quem decide em cada elo.</w:t>
      </w:r>
    </w:p>
    <w:p>
      <w:pPr>
        <w:pStyle w:val="BodyText"/>
      </w:pPr>
      <w:r>
        <w:t xml:space="preserve">Na forma do J-PAL, 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w:t>
      </w:r>
    </w:p>
    <w:p>
      <w:pPr>
        <w:pStyle w:val="BodyText"/>
        <w:keepNext/>
      </w:pPr>
      <w:r>
        <w:rPr>
          <w:b/>
        </w:rPr>
        <w:t>Figura 1</w:t>
      </w:r>
      <w:r>
        <w:rPr>
          <w:b w:val="0"/>
        </w:rPr>
        <w:t xml:space="preserve"> – Teoria da mudança da LICC, com as premissas testadas</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A LICC não atende ao critério de que um programa declare resultados e magnitude esperados (BARROS; LIMA, 2017), nem ao padrão do TCU para renúncias, com objetivos, indicadores e metas (BRASIL, 2014).</w:t>
      </w:r>
    </w:p>
    <w:p>
      <w:pPr>
        <w:pStyle w:val="BodyText"/>
      </w:pPr>
      <w:r>
        <w:rPr>
          <w:b/>
          <w:bCs/>
        </w:rPr>
        <w:t xml:space="preserve">Funil de atrito.</w:t>
      </w:r>
      <w:r>
        <w:t xml:space="preserve"> </w:t>
      </w:r>
      <w:r>
        <w:t xml:space="preserve">O funil mede, elo a elo, quantos beneficiários potenciais chegam ao fim da cadeia (WHITE; RAITZER, 2017).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Auditoria das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 teto por projeto fixa um piso de projetos, ao menos 50 com os R$ 25 milhões de 2025 (captaram 63), e os pedidos se acumulam nele: 36% dos habilitados do ciclo 2025 pediram exatamente R$ 500 mil. O acúmulo, porém, também ocorre se quem já tem patrocinador pede o teto.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Os extratos das atas de 158 reuniões com deliberação, de 2022 a 2026, listam 86 projetos inabilitados, 15% dos deliberados, sem motivo nem critério publicados (SECULT, 2026f). A habilitação qualifica, mas não prioriza, e o que excedeu o teto em 2023-2025 ficou de fora pelo momento em que o termo chegou e foi validado (SECULT, 2026c). A ordenação seria possível: no Funcultura, a SECULT atribui nota e ordena os projetos por linha e porte do município (SECULT, 2026g); na lei análoga do Rio Grande do Sul, também com 100% do ICMS, contempla-se por nota (mínimo de 60), com descentralização regional, e o patrocinador repassa 5% ou 10% a mais, sem incentivo, a um fundo de cultura (RIO GRANDE DO SUL, 2024; 2026). Nenhuma delas fixa a ordem de validação.</w:t>
      </w:r>
    </w:p>
    <w:p>
      <w:pPr>
        <w:pStyle w:val="BodyText"/>
      </w:pPr>
      <w:r>
        <w:rPr>
          <w:b/>
          <w:bCs/>
        </w:rPr>
        <w:t xml:space="preserve">Marketing (H1).</w:t>
      </w:r>
      <w:r>
        <w:t xml:space="preserve"> </w:t>
      </w:r>
      <w:r>
        <w:t xml:space="preserve">Com crédito integral, a empresa escolhe o destino do ICMS que pagaria e fica com a marca: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não sustentada, com evidência mista.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 O Gini do valor entre os 78 municípios é 0,88, mas quase toda essa desigualdade está dentro de cada região: a diferença entre RMGV e interior explica só 7% do índice de Theil, e é sobre essa parte que age a reserva de 10% para fora da RMGV.</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marketing (H1) e exclusão (H4) não se sustentam, com evidência mista; taxa de serviço (H3) e entrega (H5) ficam indeterminadas por falta de dado. A seção 5 trata de H1, H2, H4 e H5 e deixa H3 em aberto.</w:t>
      </w:r>
    </w:p>
    <w:bookmarkEnd w:id="23"/>
    <w:bookmarkEnd w:id="24"/>
    <w:bookmarkStart w:id="35" w:name="proposta-de-avaliação-de-impacto"/>
    <w:p>
      <w:pPr>
        <w:pStyle w:val="Heading1"/>
      </w:pPr>
      <w:r>
        <w:t xml:space="preserve">5 Proposta de avaliação de impacto</w:t>
      </w:r>
    </w:p>
    <w:bookmarkStart w:id="25" w:name="perguntas-e-parâmetros"/>
    <w:p>
      <w:pPr>
        <w:pStyle w:val="Heading2"/>
      </w:pPr>
      <w:r>
        <w:t xml:space="preserve">5.1 Perguntas e parâmetros</w:t>
      </w:r>
    </w:p>
    <w:p>
      <w:pPr>
        <w:pStyle w:val="FirstParagraph"/>
      </w:pPr>
      <w:r>
        <w:t xml:space="preserve">As premissas do Quadro 2 convertem-se em perguntas de pesquisa: quatro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p>
      <w:pPr>
        <w:pStyle w:val="BodyText"/>
        <w:keepNext/>
      </w:pPr>
      <w:r>
        <w:rPr>
          <w:b/>
        </w:rPr>
        <w:t>Quadro 3</w:t>
      </w:r>
      <w:r>
        <w:rPr>
          <w:b w:val="0"/>
        </w:rPr>
        <w:t xml:space="preserve"> – Perguntas de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90"/>
        <w:gridCol w:w="1760"/>
        <w:gridCol w:w="1760"/>
        <w:gridCol w:w="1430"/>
        <w:gridCol w:w="1980"/>
      </w:tblGrid>
      <w:tr>
        <w:trPr>
          <w:tblHeader w:val="on"/>
          <w:tblHeader w:val="true"/>
        </w:trPr>
        <w:tc>
          <w:tcPr>
            <w:tcBorders>
              <w:bottom w:val="single" w:sz="4" w:space="0" w:color="000000"/>
            </w:tcBorders>
          </w:tcPr>
          <w:p>
            <w:pPr>
              <w:pStyle w:val="Compact"/>
              <w:spacing w:after="0" w:before="0"/>
              <w:jc w:val="left"/>
            </w:pPr>
            <w:r>
              <w:rPr>
                <w:sz w:val="20"/>
              </w:rPr>
              <w:t xml:space="preserve">Hipótese</w:t>
            </w:r>
          </w:p>
        </w:tc>
        <w:tc>
          <w:tcPr>
            <w:tcBorders>
              <w:bottom w:val="single" w:sz="4" w:space="0" w:color="000000"/>
            </w:tcBorders>
          </w:tcPr>
          <w:p>
            <w:pPr>
              <w:pStyle w:val="Compact"/>
              <w:spacing w:after="0" w:before="0"/>
              <w:jc w:val="left"/>
            </w:pPr>
            <w:r>
              <w:rPr>
                <w:sz w:val="20"/>
              </w:rPr>
              <w:t xml:space="preserve">Pergunta</w:t>
            </w:r>
          </w:p>
        </w:tc>
        <w:tc>
          <w:tcPr>
            <w:tcBorders>
              <w:bottom w:val="single" w:sz="4" w:space="0" w:color="000000"/>
            </w:tcBorders>
          </w:tcPr>
          <w:p>
            <w:pPr>
              <w:pStyle w:val="Compact"/>
              <w:spacing w:after="0" w:before="0"/>
              <w:jc w:val="left"/>
            </w:pPr>
            <w:r>
              <w:rPr>
                <w:sz w:val="20"/>
              </w:rPr>
              <w:t xml:space="preserve">Unidade, tratamento e resultado</w:t>
            </w:r>
          </w:p>
        </w:tc>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Viés da comparação simples</w:t>
            </w:r>
          </w:p>
        </w:tc>
      </w:tr>
      <w:tr>
        <w:tc>
          <w:tcPr/>
          <w:p>
            <w:pPr>
              <w:pStyle w:val="Compact"/>
              <w:spacing w:after="0" w:before="0"/>
              <w:jc w:val="left"/>
            </w:pPr>
            <w:r>
              <w:rPr>
                <w:sz w:val="20"/>
              </w:rPr>
              <w:t xml:space="preserve">H5</w:t>
            </w:r>
          </w:p>
        </w:tc>
        <w:tc>
          <w:tcPr/>
          <w:p>
            <w:pPr>
              <w:pStyle w:val="Compact"/>
              <w:spacing w:after="0" w:before="0"/>
              <w:jc w:val="left"/>
            </w:pPr>
            <w:r>
              <w:rPr>
                <w:sz w:val="20"/>
              </w:rPr>
              <w:t xml:space="preserve">Receber pela LICC muda a realização e o alcance do projeto?</w:t>
            </w:r>
          </w:p>
        </w:tc>
        <w:tc>
          <w:tcPr/>
          <w:p>
            <w:pPr>
              <w:pStyle w:val="Compact"/>
              <w:spacing w:after="0" w:before="0"/>
              <w:jc w:val="left"/>
            </w:pPr>
            <w:r>
              <w:rPr>
                <w:sz w:val="20"/>
              </w:rPr>
              <w:t xml:space="preserve">Projeto na margem do teto;</w:t>
            </w:r>
            <w:r>
              <w:rPr>
                <w:sz w:val="20"/>
              </w:rPr>
              <w:t xml:space="preserve"> </w:t>
            </w:r>
            <w:r>
              <w:rPr>
                <w:i/>
                <w:iCs/>
                <w:sz w:val="20"/>
              </w:rPr>
              <w:t xml:space="preserve">T</w:t>
            </w:r>
            <w:r>
              <w:rPr>
                <w:sz w:val="20"/>
              </w:rPr>
              <w:t xml:space="preserve"> </w:t>
            </w:r>
            <w:r>
              <w:rPr>
                <w:sz w:val="20"/>
              </w:rPr>
              <w:t xml:space="preserve">= termo validado;</w:t>
            </w:r>
            <w:r>
              <w:rPr>
                <w:sz w:val="20"/>
              </w:rPr>
              <w:t xml:space="preserve"> </w:t>
            </w:r>
            <w:r>
              <w:rPr>
                <w:i/>
                <w:iCs/>
                <w:sz w:val="20"/>
              </w:rPr>
              <w:t xml:space="preserve">Y</w:t>
            </w:r>
            <w:r>
              <w:rPr>
                <w:sz w:val="20"/>
              </w:rPr>
              <w:t xml:space="preserve"> </w:t>
            </w:r>
            <w:r>
              <w:rPr>
                <w:sz w:val="20"/>
              </w:rPr>
              <w:t xml:space="preserve">= acontece em janela fixa após o protocolo (agenda, Diário Oficial); público</w:t>
            </w:r>
          </w:p>
        </w:tc>
        <w:tc>
          <w:tcPr/>
          <w:p>
            <w:pPr>
              <w:pStyle w:val="Compact"/>
              <w:spacing w:after="0" w:before="0"/>
              <w:jc w:val="left"/>
            </w:pPr>
            <w:r>
              <w:rPr>
                <w:sz w:val="20"/>
              </w:rPr>
              <w:t xml:space="preserve">Efeito de receber agora, na margem; fora dela, efeito médio sobre os tratados (EMPT)</w:t>
            </w:r>
          </w:p>
        </w:tc>
        <w:tc>
          <w:tcPr/>
          <w:p>
            <w:pPr>
              <w:pStyle w:val="Compact"/>
              <w:spacing w:after="0" w:before="0"/>
              <w:jc w:val="left"/>
            </w:pPr>
            <w:r>
              <w:rPr>
                <w:i/>
                <w:iCs/>
                <w:sz w:val="20"/>
              </w:rPr>
              <w:t xml:space="preserve">Y</w:t>
            </w:r>
            <w:r>
              <w:rPr>
                <w:sz w:val="20"/>
              </w:rPr>
              <w:t xml:space="preserve">(0) maior entre os escolhidos pela empresa: viés de seleção positivo</w:t>
            </w:r>
          </w:p>
        </w:tc>
      </w:tr>
      <w:tr>
        <w:tc>
          <w:tcPr/>
          <w:p>
            <w:pPr>
              <w:pStyle w:val="Compact"/>
              <w:spacing w:after="0" w:before="0"/>
              <w:jc w:val="left"/>
            </w:pPr>
            <w:r>
              <w:rPr>
                <w:sz w:val="20"/>
              </w:rPr>
              <w:t xml:space="preserve">H1</w:t>
            </w:r>
          </w:p>
        </w:tc>
        <w:tc>
          <w:tcPr/>
          <w:p>
            <w:pPr>
              <w:pStyle w:val="Compact"/>
              <w:spacing w:after="0" w:before="0"/>
              <w:jc w:val="left"/>
            </w:pPr>
            <w:r>
              <w:rPr>
                <w:sz w:val="20"/>
              </w:rPr>
              <w:t xml:space="preserve">O que pesa na escolha da empresa: marca ou valor público?</w:t>
            </w:r>
          </w:p>
        </w:tc>
        <w:tc>
          <w:tcPr/>
          <w:p>
            <w:pPr>
              <w:pStyle w:val="Compact"/>
              <w:spacing w:after="0" w:before="0"/>
              <w:jc w:val="left"/>
            </w:pPr>
            <w:r>
              <w:rPr>
                <w:sz w:val="20"/>
              </w:rPr>
              <w:t xml:space="preserve">Decisor de empresa;</w:t>
            </w:r>
            <w:r>
              <w:rPr>
                <w:sz w:val="20"/>
              </w:rPr>
              <w:t xml:space="preserve"> </w:t>
            </w:r>
            <w:r>
              <w:rPr>
                <w:i/>
                <w:iCs/>
                <w:sz w:val="20"/>
              </w:rPr>
              <w:t xml:space="preserve">T</w:t>
            </w:r>
            <w:r>
              <w:rPr>
                <w:sz w:val="20"/>
              </w:rPr>
              <w:t xml:space="preserve"> </w:t>
            </w:r>
            <w:r>
              <w:rPr>
                <w:sz w:val="20"/>
              </w:rPr>
              <w:t xml:space="preserve">= atributos sorteados de perfis de projeto;</w:t>
            </w:r>
            <w:r>
              <w:rPr>
                <w:sz w:val="20"/>
              </w:rPr>
              <w:t xml:space="preserve"> </w:t>
            </w:r>
            <w:r>
              <w:rPr>
                <w:i/>
                <w:iCs/>
                <w:sz w:val="20"/>
              </w:rPr>
              <w:t xml:space="preserve">Y</w:t>
            </w:r>
            <w:r>
              <w:rPr>
                <w:sz w:val="20"/>
              </w:rPr>
              <w:t xml:space="preserve"> </w:t>
            </w:r>
            <w:r>
              <w:rPr>
                <w:sz w:val="20"/>
              </w:rPr>
              <w:t xml:space="preserve">= escolhe o perfil</w:t>
            </w:r>
          </w:p>
        </w:tc>
        <w:tc>
          <w:tcPr/>
          <w:p>
            <w:pPr>
              <w:pStyle w:val="Compact"/>
              <w:spacing w:after="0" w:before="0"/>
              <w:jc w:val="left"/>
            </w:pPr>
            <w:r>
              <w:rPr>
                <w:sz w:val="20"/>
              </w:rPr>
              <w:t xml:space="preserve">Efeito marginal médio de cada atributo</w:t>
            </w:r>
          </w:p>
        </w:tc>
        <w:tc>
          <w:tcPr/>
          <w:p>
            <w:pPr>
              <w:pStyle w:val="Compact"/>
              <w:spacing w:after="0" w:before="0"/>
              <w:jc w:val="left"/>
            </w:pPr>
            <w:r>
              <w:rPr>
                <w:sz w:val="20"/>
              </w:rPr>
              <w:t xml:space="preserve">Visibilidade e valor público andam juntos: confundimento</w:t>
            </w:r>
          </w:p>
        </w:tc>
      </w:tr>
      <w:tr>
        <w:tc>
          <w:tcPr/>
          <w:p>
            <w:pPr>
              <w:pStyle w:val="Compact"/>
              <w:spacing w:after="0" w:before="0"/>
              <w:jc w:val="left"/>
            </w:pPr>
            <w:r>
              <w:rPr>
                <w:sz w:val="20"/>
              </w:rPr>
              <w:t xml:space="preserve">H4</w:t>
            </w:r>
          </w:p>
        </w:tc>
        <w:tc>
          <w:tcPr/>
          <w:p>
            <w:pPr>
              <w:pStyle w:val="Compact"/>
              <w:spacing w:after="0" w:before="0"/>
              <w:jc w:val="left"/>
            </w:pPr>
            <w:r>
              <w:rPr>
                <w:sz w:val="20"/>
              </w:rPr>
              <w:t xml:space="preserve">Reduzir o custo de entrada muda quem entra?</w:t>
            </w:r>
          </w:p>
        </w:tc>
        <w:tc>
          <w:tcPr/>
          <w:p>
            <w:pPr>
              <w:pStyle w:val="Compact"/>
              <w:spacing w:after="0" w:before="0"/>
              <w:jc w:val="left"/>
            </w:pPr>
            <w:r>
              <w:rPr>
                <w:sz w:val="20"/>
              </w:rPr>
              <w:t xml:space="preserve">Agente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w:t>
            </w:r>
          </w:p>
        </w:tc>
        <w:tc>
          <w:tcPr/>
          <w:p>
            <w:pPr>
              <w:pStyle w:val="Compact"/>
              <w:spacing w:after="0" w:before="0"/>
              <w:jc w:val="left"/>
            </w:pPr>
            <w:r>
              <w:rPr>
                <w:sz w:val="20"/>
              </w:rPr>
              <w:t xml:space="preserve">O parecer favorável muda o destino do projeto?</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parecer favorável;</w:t>
            </w:r>
            <w:r>
              <w:rPr>
                <w:sz w:val="20"/>
              </w:rPr>
              <w:t xml:space="preserve"> </w:t>
            </w:r>
            <w:r>
              <w:rPr>
                <w:i/>
                <w:iCs/>
                <w:sz w:val="20"/>
              </w:rPr>
              <w:t xml:space="preserve">Y</w:t>
            </w:r>
            <w:r>
              <w:rPr>
                <w:sz w:val="20"/>
              </w:rPr>
              <w:t xml:space="preserve"> </w:t>
            </w:r>
            <w:r>
              <w:rPr>
                <w:sz w:val="20"/>
              </w:rPr>
              <w:t xml:space="preserve">= captou, realizou</w:t>
            </w:r>
          </w:p>
        </w:tc>
        <w:tc>
          <w:tcPr/>
          <w:p>
            <w:pPr>
              <w:pStyle w:val="Compact"/>
              <w:spacing w:after="0" w:before="0"/>
              <w:jc w:val="left"/>
            </w:pPr>
            <w:r>
              <w:rPr>
                <w:sz w:val="20"/>
              </w:rPr>
              <w:t xml:space="preserve">Efeito local, se a designação do parecerista for como sorteio; senão, descritivo</w:t>
            </w:r>
          </w:p>
        </w:tc>
        <w:tc>
          <w:tcPr/>
          <w:p>
            <w:pPr>
              <w:pStyle w:val="Compact"/>
              <w:spacing w:after="0" w:before="0"/>
              <w:jc w:val="left"/>
            </w:pPr>
            <w:r>
              <w:rPr>
                <w:sz w:val="20"/>
              </w:rPr>
              <w:t xml:space="preserve">Sem nota não há corte; a designação por ordem e área é a variação candidata</w:t>
            </w:r>
          </w:p>
        </w:tc>
      </w:tr>
    </w:tbl>
    <w:p>
      <w:pPr>
        <w:pStyle w:val="BodyText"/>
      </w:pPr>
      <w:r>
        <w:rPr>
          <w:i/>
          <w:sz w:val="20"/>
        </w:rPr>
        <w:t>Fonte</w:t>
      </w:r>
      <w:r>
        <w:rPr>
          <w:sz w:val="20"/>
        </w:rPr>
        <w:t>: elaboração própria, com base em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promoção aleatória, experimento com decisores, variáveis instrumentais e diferenças em diferenças. O sorteio mudaria a regra de alocação e fica fora do escopo.</w:t>
      </w:r>
    </w:p>
    <w:p>
      <w:pPr>
        <w:pStyle w:val="Compact"/>
        <w:numPr>
          <w:ilvl w:val="0"/>
          <w:numId w:val="1001"/>
        </w:numPr>
      </w:pPr>
      <w:r>
        <w:rPr>
          <w:b/>
          <w:bCs/>
        </w:rPr>
        <w:t xml:space="preserve">H5.</w:t>
      </w:r>
      <w:r>
        <w:t xml:space="preserve"> </w:t>
      </w:r>
      <w:r>
        <w:t xml:space="preserve">Os termos validados pouco antes do esgotamento do teto e os de 32 projetos recusados em 2023 e 2024 tinham, todos, patrocinador disposto. Mas 6 dos 11 recusados em 2023 e 12 dos 21 recusados em 2024 captaram no ano seguinte: com resultado datado (realização em janela fixa após o protocolo), a comparação estima o efeito de receber agora; para o de receber em algum momento, o indeferimento serve de instrumento, com primeiro estágio de 41% (13 dos 32 recusados não captaram depois). As duas leituras valem se a ordem de validação não se ligar ao projeto, o que as datas de protocolo permitem testar.</w:t>
      </w:r>
    </w:p>
    <w:p>
      <w:pPr>
        <w:pStyle w:val="Compact"/>
        <w:numPr>
          <w:ilvl w:val="0"/>
          <w:numId w:val="1001"/>
        </w:numPr>
      </w:pP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 É uma pergunta de mecanismo: aplicados aos habilitados, os pesos estimados indicam o que fica sem patrocínio (o pequeno, o gratuito, o do interior), a confrontar com H4 e H5.</w:t>
      </w:r>
    </w:p>
    <w:p>
      <w:pPr>
        <w:pStyle w:val="Compact"/>
        <w:numPr>
          <w:ilvl w:val="0"/>
          <w:numId w:val="1001"/>
        </w:numPr>
      </w:pPr>
      <w:r>
        <w:rPr>
          <w:b/>
          <w:bCs/>
        </w:rPr>
        <w:t xml:space="preserve">H4.</w:t>
      </w:r>
      <w:r>
        <w:t xml:space="preserve"> </w:t>
      </w:r>
      <w:r>
        <w:t xml:space="preserve">Uma promoção aleatória de apoio à inscrição e à busca de patrocínio, sorteada entre municípios do interior, não altera nenhuma regra de alocação; dois braços sorteados separam o atrito documental do de patrocínio. A promoção estima o efeito da oferta e, para quem responde a ela, o efeito local (ANGRIST; IMBENS; RUBIN, 1996). Como o teto é fixo, sortear também a intensidade da oferta entre municípios mede o deslocamento de outros proponentes (BAIRD</w:t>
      </w:r>
      <w:r>
        <w:t xml:space="preserve"> </w:t>
      </w:r>
      <w:r>
        <w:rPr>
          <w:i/>
          <w:iCs/>
        </w:rPr>
        <w:t xml:space="preserve">et al.</w:t>
      </w:r>
      <w:r>
        <w:t xml:space="preserve">, 2018).</w:t>
      </w:r>
    </w:p>
    <w:p>
      <w:pPr>
        <w:pStyle w:val="Compact"/>
        <w:numPr>
          <w:ilvl w:val="0"/>
          <w:numId w:val="1001"/>
        </w:numPr>
      </w:pPr>
      <w:r>
        <w:rPr>
          <w:b/>
          <w:bCs/>
        </w:rPr>
        <w:t xml:space="preserve">H2.</w:t>
      </w:r>
      <w:r>
        <w:t xml:space="preserve"> </w:t>
      </w:r>
      <w:r>
        <w:t xml:space="preserve">Sem nota, não há corte para regressão descontínua, mas os projetos são distribuídos aos pareceristas por ordem de inscrição e área (SECULT, 2025c). Se essa designação se comportar como sorteio dentro de área e período, a severidade do parecerista (a parcela de pareceres favoráveis nos seus outros projetos) é instrumento para o parecer, como o examinador designado em Maestas, Mullen e Strand (2013), sob exclusão e monotonicidade testáveis e com o parecerista de cada inscrição obtido por LAI. Como são 41 pareceristas credenciados, de 4 a 20 por área, o instrumento por área é fraco, e o desenho fica exploratório, com áreas afins agrupadas.</w:t>
      </w:r>
    </w:p>
    <w:p>
      <w:pPr>
        <w:pStyle w:val="FirstParagraph"/>
      </w:pPr>
      <w:r>
        <w:rPr>
          <w:b/>
          <w:bCs/>
        </w:rPr>
        <w:t xml:space="preserve">O que fica aberto.</w:t>
      </w:r>
      <w:r>
        <w:t xml:space="preserve"> </w:t>
      </w:r>
      <w:r>
        <w:t xml:space="preserve">Cada estratégia pede um método próprio: regressão descontínua no tempo, com a hora de protocolo em torno do esgotamento de cada cota; variáveis instrumentais, com a recusa pelo teto e a severidade do parecerista; e diferenças em diferenças para H3, com as regras de custo novas de 2025 e 2026.</w:t>
      </w:r>
    </w:p>
    <w:bookmarkEnd w:id="26"/>
    <w:bookmarkStart w:id="27" w:name="desenho-da-amostra-e-fontes-de-dados"/>
    <w:p>
      <w:pPr>
        <w:pStyle w:val="Heading2"/>
      </w:pPr>
      <w:r>
        <w:t xml:space="preserve">5.3 Desenho da amostra e fontes de dados</w:t>
      </w:r>
    </w:p>
    <w:p>
      <w:pPr>
        <w:pStyle w:val="FirstParagraph"/>
      </w:pPr>
      <w:r>
        <w:t xml:space="preserve">Para H5 e H2, trabalha-se com o universo, e a listagem vem dos anexos oficiais: 293 projetos habilitados em 2022-2024 com situação resolvida, de 172 proponentes, e os termos de 2023 e 2024 na margem do racionamento. Para H1, a população principal é quem decide o patrocínio (marketing, diretoria ou relações institucionais): a listagem parte das 26 patrocinadoras de 2025, e os maiores contribuintes fora do Simples Nacional, listados com a SEFAZ, formam uma extensão, com parâmetro possivelmente diferente. Para H4, a listagem é o cadastro de agentes do Mapa Cultural, em que 79% dos coletivos e 78% dos individuais não informam município; com município no interior, há 257 coletivos em 52 municípios e 2.389 agentes, somados os individuais, nos 71. A oferta é sorteada entre municípios do interior e chega a todos os agentes cadastrados sem inscrição anterior; quem não está no Mapa fica de fora, um viés de cobertura. A chave de ligação é o CNPJ do proponente: o Portal da Transparência o traz para quem captou (ESPÍRITO SANTO, 2026), e a SECULT, para os demais, por pedido de acesso à informação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linha, área, parecerista, parecer, CNPJ, sede e datas</w:t>
            </w:r>
          </w:p>
        </w:tc>
        <w:tc>
          <w:tcPr/>
          <w:p>
            <w:pPr>
              <w:pStyle w:val="Compact"/>
              <w:spacing w:after="0" w:before="0"/>
              <w:jc w:val="left"/>
            </w:pPr>
            <w:r>
              <w:rPr>
                <w:sz w:val="20"/>
              </w:rPr>
              <w:t xml:space="preserve">H2, H4;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Planilhas de custos</w:t>
            </w:r>
          </w:p>
        </w:tc>
        <w:tc>
          <w:tcPr/>
          <w:p>
            <w:pPr>
              <w:pStyle w:val="Compact"/>
              <w:spacing w:after="0" w:before="0"/>
              <w:jc w:val="left"/>
            </w:pPr>
            <w:r>
              <w:rPr>
                <w:sz w:val="20"/>
              </w:rPr>
              <w:t xml:space="preserve">Rubricas de captação, elaboração, divulgação e remuneração, por projeto</w:t>
            </w:r>
          </w:p>
        </w:tc>
        <w:tc>
          <w:tcPr/>
          <w:p>
            <w:pPr>
              <w:pStyle w:val="Compact"/>
              <w:spacing w:after="0" w:before="0"/>
              <w:jc w:val="left"/>
            </w:pPr>
            <w:r>
              <w:rPr>
                <w:sz w:val="20"/>
              </w:rPr>
              <w:t xml:space="preserve">H3</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extratos do Diário Oficial e das atas da CAP</w:t>
            </w:r>
          </w:p>
        </w:tc>
        <w:tc>
          <w:tcPr/>
          <w:p>
            <w:pPr>
              <w:pStyle w:val="Compact"/>
              <w:spacing w:after="0" w:before="0"/>
              <w:jc w:val="left"/>
            </w:pPr>
            <w:r>
              <w:rPr>
                <w:sz w:val="20"/>
              </w:rPr>
              <w:t xml:space="preserve">Status, valores, patrocinador e data de cada repasse; inabilitados e data da habilitação</w:t>
            </w:r>
          </w:p>
        </w:tc>
        <w:tc>
          <w:tcPr/>
          <w:p>
            <w:pPr>
              <w:pStyle w:val="Compact"/>
              <w:spacing w:after="0" w:before="0"/>
              <w:jc w:val="left"/>
            </w:pPr>
            <w:r>
              <w:rPr>
                <w:sz w:val="20"/>
              </w:rPr>
              <w:t xml:space="preserve">H5 (tratamento e intensidade); H2</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(SEFAZ); Receita Federal</w:t>
            </w:r>
          </w:p>
        </w:tc>
        <w:tc>
          <w:tcPr/>
          <w:p>
            <w:pPr>
              <w:pStyle w:val="Compact"/>
              <w:spacing w:after="0" w:before="0"/>
              <w:jc w:val="left"/>
            </w:pPr>
            <w:r>
              <w:rPr>
                <w:sz w:val="20"/>
              </w:rPr>
              <w:t xml:space="preserve">Termos de 2022-2025: data, patrocinador e proponente (CNPJ); pelo CNPJ, porte, idade e sede</w:t>
            </w:r>
          </w:p>
        </w:tc>
        <w:tc>
          <w:tcPr/>
          <w:p>
            <w:pPr>
              <w:pStyle w:val="Compact"/>
              <w:spacing w:after="0" w:before="0"/>
              <w:jc w:val="left"/>
            </w:pPr>
            <w:r>
              <w:rPr>
                <w:sz w:val="20"/>
              </w:rPr>
              <w:t xml:space="preserve">Fila (H5); pares e porte (H1, H4)</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Data de protocolo e de validação dos termos, cota e indeferidos</w:t>
            </w:r>
          </w:p>
        </w:tc>
        <w:tc>
          <w:tcPr/>
          <w:p>
            <w:pPr>
              <w:pStyle w:val="Compact"/>
              <w:spacing w:after="0" w:before="0"/>
              <w:jc w:val="left"/>
            </w:pPr>
            <w:r>
              <w:rPr>
                <w:sz w:val="20"/>
              </w:rPr>
              <w:t xml:space="preserve">H5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Lista de presença e estimativa de público (IN 001/2025, art. 66),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H4; ocorrência de eventos (</w:t>
            </w: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Público</w:t>
            </w:r>
          </w:p>
        </w:tc>
      </w:tr>
    </w:tbl>
    <w:p>
      <w:pPr>
        <w:pStyle w:val="BodyText"/>
      </w:pPr>
      <w:r>
        <w:rPr>
          <w:i/>
          <w:sz w:val="20"/>
        </w:rPr>
        <w:t>Fonte</w:t>
      </w:r>
      <w:r>
        <w:rPr>
          <w:sz w:val="20"/>
        </w:rPr>
        <w:t>: elaboração própria.</w:t>
      </w:r>
    </w:p>
    <w:bookmarkEnd w:id="27"/>
    <w:bookmarkStart w:id="33"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Djimeu e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BodyText"/>
        <w:keepNext/>
      </w:pPr>
      <w:r>
        <w:rPr>
          <w:b/>
        </w:rPr>
        <w:t>Tabela 2</w:t>
      </w:r>
      <w:r>
        <w:rPr>
          <w:b w:val="0"/>
        </w:rPr>
        <w:t xml:space="preserve"> – Efeito mínimo detectável por pergunta (pontos percentuais)</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3615"/>
        <w:gridCol w:w="1807"/>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Pergunta e comparação</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Cenários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sz w:val="20"/>
              </w:rPr>
              <w:t xml:space="preserve">H1: experimento conjunto</w:t>
            </w:r>
          </w:p>
        </w:tc>
        <w:tc>
          <w:tcPr/>
          <w:p>
            <w:pPr>
              <w:pStyle w:val="Compact"/>
              <w:keepNext/>
              <w:spacing w:after="0" w:before="0"/>
              <w:jc w:val="left"/>
            </w:pPr>
            <w:r>
              <w:rPr>
                <w:sz w:val="20"/>
              </w:rPr>
              <w:t xml:space="preserve">30 a 60 decisores × 12 tarefas (720 a 1.440 perfis)</w:t>
            </w:r>
          </w:p>
        </w:tc>
        <w:tc>
          <w:tcPr/>
          <w:p>
            <w:pPr>
              <w:pStyle w:val="Compact"/>
              <w:keepNext/>
              <w:spacing w:after="0" w:before="0"/>
              <w:jc w:val="left"/>
            </w:pPr>
            <m:oMath>
              <m:sSub>
                <m:e>
                  <m:r>
                    <m:t>p</m:t>
                  </m:r>
                </m:e>
                <m:sub>
                  <m:r>
                    <m:t>0</m:t>
                  </m:r>
                </m:sub>
              </m:sSub>
            </m:oMath>
            <w:r>
              <w:rPr>
                <w:sz w:val="20"/>
              </w:rPr>
              <w:t xml:space="preserve"> </w:t>
            </w:r>
            <w:r>
              <w:rPr>
                <w:sz w:val="20"/>
              </w:rPr>
              <w:t xml:space="preserve">= 0,5; ρ = 0 ou 0,1 no decisor</w:t>
            </w:r>
          </w:p>
        </w:tc>
        <w:tc>
          <w:tcPr/>
          <w:p>
            <w:pPr>
              <w:pStyle w:val="Compact"/>
              <w:keepNext/>
              <w:spacing w:after="0" w:before="0"/>
              <w:jc w:val="left"/>
            </w:pPr>
            <w:r>
              <w:rPr>
                <w:sz w:val="20"/>
              </w:rPr>
              <w:t xml:space="preserve">7,4 a 19,0</w:t>
            </w:r>
          </w:p>
        </w:tc>
      </w:tr>
      <w:tr>
        <w:tc>
          <w:tcPr/>
          <w:p>
            <w:pPr>
              <w:pStyle w:val="Compact"/>
              <w:keepNext/>
              <w:spacing w:after="0" w:before="0"/>
              <w:jc w:val="left"/>
            </w:pPr>
            <w:r>
              <w:rPr>
                <w:sz w:val="20"/>
              </w:rPr>
              <w:t xml:space="preserve">H5: margem do racionamento, 2023-2024</w:t>
            </w:r>
          </w:p>
        </w:tc>
        <w:tc>
          <w:tcPr/>
          <w:p>
            <w:pPr>
              <w:pStyle w:val="Compact"/>
              <w:keepNext/>
              <w:spacing w:after="0" w:before="0"/>
              <w:jc w:val="left"/>
            </w:pPr>
            <w:r>
              <w:rPr>
                <w:sz w:val="20"/>
              </w:rPr>
              <w:t xml:space="preserve">32 recusados × 32 validados antes do esgotamento</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keepNext/>
              <w:spacing w:after="0" w:before="0"/>
              <w:jc w:val="left"/>
            </w:pPr>
            <w:r>
              <w:rPr>
                <w:sz w:val="20"/>
              </w:rPr>
              <w:t xml:space="preserve">H4: oferta por município, só coletivos</w:t>
            </w:r>
          </w:p>
        </w:tc>
        <w:tc>
          <w:tcPr/>
          <w:p>
            <w:pPr>
              <w:pStyle w:val="Compact"/>
              <w:keepNext/>
              <w:spacing w:after="0" w:before="0"/>
              <w:jc w:val="left"/>
            </w:pPr>
            <w:r>
              <w:rPr>
                <w:sz w:val="20"/>
              </w:rPr>
              <w:t xml:space="preserve">52 municípios, 257 coletivos (</w:t>
            </w:r>
            <m:oMath>
              <m:acc>
                <m:accPr>
                  <m:chr m:val="‾"/>
                </m:accPr>
                <m:e>
                  <m:r>
                    <m:t>m</m:t>
                  </m:r>
                </m:e>
              </m:acc>
            </m:oMath>
            <w:r>
              <w:rPr>
                <w:sz w:val="20"/>
              </w:rPr>
              <w:t xml:space="preserve"> </w:t>
            </w:r>
            <w:r>
              <w:rPr>
                <w:sz w:val="20"/>
              </w:rPr>
              <w:t xml:space="preserve">= 4,9;</w:t>
            </w:r>
            <w:r>
              <w:rPr>
                <w:sz w:val="20"/>
              </w:rPr>
              <w:t xml:space="preserve"> </w:t>
            </w:r>
            <w:r>
              <w:rPr>
                <w:i/>
                <w:iCs/>
                <w:sz w:val="20"/>
              </w:rPr>
              <w:t xml:space="preserve">cv</w:t>
            </w:r>
            <w:r>
              <w:rPr>
                <w:sz w:val="20"/>
              </w:rPr>
              <w:t xml:space="preserve"> </w:t>
            </w:r>
            <w:r>
              <w:rPr>
                <w:sz w:val="20"/>
              </w:rPr>
              <w:t xml:space="preserve">= 1,32)</w:t>
            </w:r>
          </w:p>
        </w:tc>
        <w:tc>
          <w:tcPr/>
          <w:p>
            <w:pPr>
              <w:pStyle w:val="Compact"/>
              <w:keepNex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keepNext/>
              <w:spacing w:after="0" w:before="0"/>
              <w:jc w:val="left"/>
            </w:pPr>
            <w:r>
              <w:rPr>
                <w:sz w:val="20"/>
              </w:rPr>
              <w:t xml:space="preserve">5,5 a 13,4</w:t>
            </w:r>
          </w:p>
        </w:tc>
      </w:tr>
      <w:tr>
        <w:tc>
          <w:tcPr/>
          <w:p>
            <w:pPr>
              <w:pStyle w:val="Compact"/>
              <w:spacing w:after="0" w:before="0"/>
              <w:jc w:val="left"/>
            </w:pPr>
            <w:r>
              <w:rPr>
                <w:sz w:val="20"/>
              </w:rPr>
              <w:t xml:space="preserve">H4: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analise/tabelas/07_poder_hipoteses.csv</w:t>
        </w:r>
      </w:hyperlink>
      <w:r>
        <w:rPr>
          <w:sz w:val="20"/>
        </w:rPr>
        <w:t xml:space="preserve">,</w:t>
      </w:r>
      <w:r>
        <w:rPr>
          <w:sz w:val="20"/>
        </w:rPr>
        <w:t xml:space="preserve"> </w:t>
      </w:r>
      <w:hyperlink r:id="rId29">
        <w:r>
          <w:rPr>
            <w:rStyle w:val="VerbatimChar"/>
          </w:rPr>
          <w:t xml:space="preserve">07_mapa_quadro_h3.csv</w:t>
        </w:r>
      </w:hyperlink>
      <w:r>
        <w:rPr>
          <w:sz w:val="20"/>
        </w:rPr>
        <w:t xml:space="preserve"> </w:t>
      </w:r>
      <w:r>
        <w:rPr>
          <w:sz w:val="20"/>
        </w:rPr>
        <w:t xml:space="preserve">e</w:t>
      </w:r>
      <w:r>
        <w:rPr>
          <w:sz w:val="20"/>
        </w:rPr>
        <w:t xml:space="preserve"> </w:t>
      </w:r>
      <w:hyperlink r:id="rId30">
        <w:r>
          <w:rPr>
            <w:rStyle w:val="VerbatimChar"/>
          </w:rPr>
          <w:t xml:space="preserve">10_poder_conjoint.csv</w:t>
        </w:r>
      </w:hyperlink>
      <w:r>
        <w:rPr>
          <w:sz w:val="20"/>
        </w:rPr>
        <w:t xml:space="preserve"> </w:t>
      </w:r>
      <w:r>
        <w:rPr>
          <w:sz w:val="20"/>
        </w:rPr>
        <w:t xml:space="preserve">(scripts</w:t>
      </w:r>
      <w:r>
        <w:rPr>
          <w:sz w:val="20"/>
        </w:rPr>
        <w:t xml:space="preserve"> </w:t>
      </w:r>
      <w:hyperlink r:id="rId31">
        <w:r>
          <w:rPr>
            <w:rStyle w:val="VerbatimChar"/>
          </w:rPr>
          <w:t xml:space="preserve">analise/07_hipoteses_h1_h3.py</w:t>
        </w:r>
      </w:hyperlink>
      <w:r>
        <w:rPr>
          <w:sz w:val="20"/>
        </w:rPr>
        <w:t xml:space="preserve"> </w:t>
      </w:r>
      <w:r>
        <w:rPr>
          <w:sz w:val="20"/>
        </w:rPr>
        <w:t xml:space="preserve">e</w:t>
      </w:r>
      <w:r>
        <w:rPr>
          <w:sz w:val="20"/>
        </w:rPr>
        <w:t xml:space="preserve"> </w:t>
      </w:r>
      <w:hyperlink r:id="rId32">
        <w:r>
          <w:rPr>
            <w:rStyle w:val="VerbatimChar"/>
          </w:rPr>
          <w:t xml:space="preserve">10_poder_mercado_rubricas.py</w:t>
        </w:r>
      </w:hyperlink>
      <w:r>
        <w:rPr>
          <w:sz w:val="20"/>
        </w:rPr>
        <w:t xml:space="preserve">).</w:t>
      </w:r>
    </w:p>
    <w:p>
      <w:pPr>
        <w:pStyle w:val="BodyText"/>
      </w:pPr>
      <w:r>
        <w:t xml:space="preserve">A comparação na margem do racionamento só detecta efeitos muito grandes, acima dos esperados (seção 3), e serve como verificação de robustez. O experimento conjunto detecta diferenças de 7 a 13 pontos na probabilidade de escolha com 60 decisores, e de 10 a 19 com 30. O desenho de H4 detecta efeitos de poucos pontos se incluir os agentes individuais, que precisariam de CNPJ (MEI) para se inscrever; só com os coletivos, o efeito mínimo passa de 5 pontos. 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bookmarkEnd w:id="33"/>
    <w:bookmarkStart w:id="34"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de fonte (a captação pela Lei Rouanet entra como resultado), os eventos externos do período (Lei Paulo Gustavo e Política Nacional Aldir Blanc) e o atrito dos dados. No experimento conjunto, a escolha declarada pode pender para o socialmente desejável; a escolha forçada entre perfis reduz o viés, e os patrocínios observados servem de validação. A validade externa é limitada: as comparações de H5 valem para o regime de 2022-2024, em que a habilitação precedia a busca por patrocinador, e desde 2025 os expirados quase desapareceram (3 em 56 resolvidos no ciclo 2025). No plano ético, nenhum desenho nega acesso a elegíveis: o apoio chega aos controles ao fim, e o deslocamento pelo teto é medido pela saturação. Dados identificados exigem anonimização (LGPD), e pesquisas com pessoas, aprovação de comitê de ética.</w:t>
      </w:r>
    </w:p>
    <w:bookmarkEnd w:id="34"/>
    <w:bookmarkEnd w:id="35"/>
    <w:bookmarkStart w:id="36" w:name="conclusão"/>
    <w:p>
      <w:pPr>
        <w:pStyle w:val="Heading1"/>
      </w:pPr>
      <w:r>
        <w:t xml:space="preserve">6 Conclusão</w:t>
      </w:r>
    </w:p>
    <w:p>
      <w:pPr>
        <w:pStyle w:val="FirstParagraph"/>
      </w:pPr>
      <w:r>
        <w:t xml:space="preserve">A LICC é um gasto tributário que mais que dobrou de 2023 a 2026, sem problema declarado, objetivos mensuráveis ou previsão de avaliação: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os inscritos, com CNPJ, sede e motivo de inabilitação; a captação por cota; a fila de termos, com datas de protocolo e validação, também dos recusados; e custos, contrapartidas e público alcançado.</w:t>
      </w:r>
    </w:p>
    <w:p>
      <w:pPr>
        <w:pStyle w:val="BodyText"/>
      </w:pPr>
      <w:r>
        <w:t xml:space="preserve">Das quatro perguntas, a da entrega (H5) é a mais importante e a mais difícil: mais da metade dos recusados por falta de teto captou no ano seguinte, e comparar quem recebe com quem não recebe exige resultado datado e a fila de termos com as datas. Se a adicionalidade na margem for baixa, ampliar o teto financia sobretudo o que ocorreria de todo modo, e as decisões que importam passam a ser quem entra e o que se entrega. Limitações dos dados: a situação publicada aproxima a captação, a estreia é medida por nome de proponente, e o retrato territorial cobre 74% do valor.</w:t>
      </w:r>
    </w:p>
    <w:bookmarkEnd w:id="36"/>
    <w:bookmarkStart w:id="56"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w:t>
      </w:r>
      <w:r>
        <w:t xml:space="preserve"> </w:t>
      </w:r>
      <w:hyperlink r:id="rId37">
        <w:r>
          <w:rPr>
            <w:rStyle w:val="Hyperlink"/>
          </w:rPr>
          <w:t xml:space="preserve">10.1080/01621459.1996.10476902</w:t>
        </w:r>
      </w:hyperlink>
      <w:r>
        <w:t xml:space="preserve">.</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w:t>
      </w:r>
      <w:r>
        <w:t xml:space="preserve"> </w:t>
      </w:r>
      <w:hyperlink r:id="rId38">
        <w:r>
          <w:rPr>
            <w:rStyle w:val="Hyperlink"/>
          </w:rPr>
          <w:t xml:space="preserve">10.1162/rest_a_00716</w:t>
        </w:r>
      </w:hyperlink>
      <w:r>
        <w:t xml:space="preserve">.</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39">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40">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1">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2">
        <w:r>
          <w:rPr>
            <w:rStyle w:val="Hyperlink"/>
          </w:rPr>
          <w:t xml:space="preserve">10.1332/251569119X15675896589688</w:t>
        </w:r>
      </w:hyperlink>
      <w:r>
        <w:t xml:space="preserve">.</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3">
        <w:r>
          <w:rPr>
            <w:rStyle w:val="Hyperlink"/>
          </w:rPr>
          <w:t xml:space="preserve">10.1080/19439342.2016.1244555</w:t>
        </w:r>
      </w:hyperlink>
      <w:r>
        <w:t xml:space="preserve">.</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w:t>
      </w:r>
      <w:r>
        <w:t xml:space="preserve"> </w:t>
      </w:r>
      <w:hyperlink r:id="rId44">
        <w:r>
          <w:rPr>
            <w:rStyle w:val="Hyperlink"/>
          </w:rPr>
          <w:t xml:space="preserve">10.1093/ije/dyl129</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45">
        <w:r>
          <w:rPr>
            <w:rStyle w:val="Hyperlink"/>
          </w:rPr>
          <w:t xml:space="preserve">10.1093/qje/qjz013</w:t>
        </w:r>
      </w:hyperlink>
      <w:r>
        <w:t xml:space="preserve">.</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46">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w:t>
      </w:r>
      <w:r>
        <w:t xml:space="preserve"> </w:t>
      </w:r>
      <w:hyperlink r:id="rId47">
        <w:r>
          <w:rPr>
            <w:rStyle w:val="Hyperlink"/>
          </w:rPr>
          <w:t xml:space="preserve">10.1093/pan/mpt024</w:t>
        </w:r>
      </w:hyperlink>
      <w:r>
        <w:t xml:space="preserve">.</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w:t>
      </w:r>
      <w:r>
        <w:t xml:space="preserve"> </w:t>
      </w:r>
      <w:hyperlink r:id="rId48">
        <w:r>
          <w:rPr>
            <w:rStyle w:val="Hyperlink"/>
          </w:rPr>
          <w:t xml:space="preserve">10.1257/aer.103.5.1797</w:t>
        </w:r>
      </w:hyperlink>
      <w:r>
        <w:t xml:space="preserve">.</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49">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50">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51">
        <w:r>
          <w:rPr>
            <w:rStyle w:val="Hyperlink"/>
          </w:rPr>
          <w:t xml:space="preserve">10.1023/A:1007653328733</w:t>
        </w:r>
      </w:hyperlink>
      <w:r>
        <w:t xml:space="preserve">.</w:t>
      </w:r>
    </w:p>
    <w:p>
      <w:pPr>
        <w:pStyle w:val="BodyText"/>
      </w:pPr>
      <w:r>
        <w:t xml:space="preserve">RIO GRANDE DO SUL. Governo do Estado.</w:t>
      </w:r>
      <w:r>
        <w:t xml:space="preserve"> </w:t>
      </w:r>
      <w:r>
        <w:rPr>
          <w:b/>
          <w:bCs/>
        </w:rPr>
        <w:t xml:space="preserve">Estado divulga lista de projetos classificados no edital da Lei de Incentivo à Cultura</w:t>
      </w:r>
      <w:r>
        <w:t xml:space="preserve">. Porto Alegre, 20 jun. 2024. Disponível em: https://www.estado.rs.gov.br/estado-divulga-lista-de-projetos-classificados-no-edital-da-lei-de-incentivo-a-cultura. Acesso em: 27 set. 2026.</w:t>
      </w:r>
    </w:p>
    <w:p>
      <w:pPr>
        <w:pStyle w:val="BodyText"/>
      </w:pPr>
      <w:r>
        <w:t xml:space="preserve">RIO GRANDE DO SUL. Secretaria da Cultura.</w:t>
      </w:r>
      <w:r>
        <w:t xml:space="preserve"> </w:t>
      </w:r>
      <w:r>
        <w:rPr>
          <w:b/>
          <w:bCs/>
        </w:rPr>
        <w:t xml:space="preserve">Lei de Incentivo à Cultura</w:t>
      </w:r>
      <w:r>
        <w:t xml:space="preserve">: sobre. Porto Alegre: Sedac, 2026. Disponível em: https://cultura.rs.gov.br/lei-de-incentivo-a-cultura. Acesso em: 27 set. 2026.</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52">
        <w:r>
          <w:rPr>
            <w:rStyle w:val="Hyperlink"/>
          </w:rPr>
          <w:t xml:space="preserve">10.20435/inter.v22i2.2965</w:t>
        </w:r>
      </w:hyperlink>
      <w:r>
        <w:t xml:space="preserve">.</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w:t>
      </w:r>
      <w:r>
        <w:t xml:space="preserve"> </w:t>
      </w:r>
      <w:hyperlink r:id="rId53">
        <w:r>
          <w:rPr>
            <w:rStyle w:val="Hyperlink"/>
          </w:rPr>
          <w:t xml:space="preserve">10.1177/0275074016651958</w:t>
        </w:r>
      </w:hyperlink>
      <w:r>
        <w:t xml:space="preserve">.</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54">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55">
        <w:r>
          <w:rPr>
            <w:rStyle w:val="Hyperlink"/>
          </w:rPr>
          <w:t xml:space="preserve">10.1093/wbro/lky010</w:t>
        </w:r>
      </w:hyperlink>
      <w:r>
        <w:t xml:space="preserve">.</w:t>
      </w:r>
    </w:p>
    <w:bookmarkEnd w:id="56"/>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o anexo de captação da SECULT informa R$ 15 milhões disponíveis (R$ 11,5 milhões validados), valor que a lista do Portal da Transparência atribui à mesma portaria (ESPÍRITO SANTO, 2026). Sem ato de ampliação localizado, o teto de 2022 fica indeterminado.</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1" Type="http://schemas.openxmlformats.org/officeDocument/2006/relationships/hyperlink" Target="https://doi.org/10.1023/A:1007653328733" TargetMode="External"/><Relationship Id="rId37" Type="http://schemas.openxmlformats.org/officeDocument/2006/relationships/hyperlink" Target="https://doi.org/10.1080/01621459.1996.10476902" TargetMode="External"/><Relationship Id="rId43" Type="http://schemas.openxmlformats.org/officeDocument/2006/relationships/hyperlink" Target="https://doi.org/10.1080/19439342.2016.1244555" TargetMode="External"/><Relationship Id="rId44" Type="http://schemas.openxmlformats.org/officeDocument/2006/relationships/hyperlink" Target="https://doi.org/10.1093/ije/dyl129" TargetMode="External"/><Relationship Id="rId50" Type="http://schemas.openxmlformats.org/officeDocument/2006/relationships/hyperlink" Target="https://doi.org/10.1093/jopart/muu009" TargetMode="External"/><Relationship Id="rId47" Type="http://schemas.openxmlformats.org/officeDocument/2006/relationships/hyperlink" Target="https://doi.org/10.1093/pan/mpt024" TargetMode="External"/><Relationship Id="rId45" Type="http://schemas.openxmlformats.org/officeDocument/2006/relationships/hyperlink" Target="https://doi.org/10.1093/qje/qjz013" TargetMode="External"/><Relationship Id="rId55" Type="http://schemas.openxmlformats.org/officeDocument/2006/relationships/hyperlink" Target="https://doi.org/10.1093/wbro/lky010" TargetMode="External"/><Relationship Id="rId38" Type="http://schemas.openxmlformats.org/officeDocument/2006/relationships/hyperlink" Target="https://doi.org/10.1162/rest_a_00716" TargetMode="External"/><Relationship Id="rId53" Type="http://schemas.openxmlformats.org/officeDocument/2006/relationships/hyperlink" Target="https://doi.org/10.1177/0275074016651958" TargetMode="External"/><Relationship Id="rId46" Type="http://schemas.openxmlformats.org/officeDocument/2006/relationships/hyperlink" Target="https://doi.org/10.1177/1745691614551642" TargetMode="External"/><Relationship Id="rId48" Type="http://schemas.openxmlformats.org/officeDocument/2006/relationships/hyperlink" Target="https://doi.org/10.1257/aer.103.5.1797" TargetMode="External"/><Relationship Id="rId39" Type="http://schemas.openxmlformats.org/officeDocument/2006/relationships/hyperlink" Target="https://doi.org/10.1257/aer.20180615" TargetMode="External"/><Relationship Id="rId40" Type="http://schemas.openxmlformats.org/officeDocument/2006/relationships/hyperlink" Target="https://doi.org/10.1287/mnsc.2019.3337" TargetMode="External"/><Relationship Id="rId42" Type="http://schemas.openxmlformats.org/officeDocument/2006/relationships/hyperlink" Target="https://doi.org/10.1332/251569119X15675896589688" TargetMode="External"/><Relationship Id="rId41" Type="http://schemas.openxmlformats.org/officeDocument/2006/relationships/hyperlink" Target="https://doi.org/10.1590/0034-7612162254" TargetMode="External"/><Relationship Id="rId52" Type="http://schemas.openxmlformats.org/officeDocument/2006/relationships/hyperlink" Target="https://doi.org/10.20435/inter.v22i2.2965" TargetMode="External"/><Relationship Id="rId54" Type="http://schemas.openxmlformats.org/officeDocument/2006/relationships/hyperlink" Target="https://doi.org/10.22617/TCS179188-2" TargetMode="External"/><Relationship Id="rId49"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1" Type="http://schemas.openxmlformats.org/officeDocument/2006/relationships/hyperlink" Target="https://github.com/fcarva/aval-pol/blob/main/analise/07_hipoteses_h1_h3.py" TargetMode="External"/><Relationship Id="rId32" Type="http://schemas.openxmlformats.org/officeDocument/2006/relationships/hyperlink" Target="https://github.com/fcarva/aval-pol/blob/main/analise/10_poder_mercado_rubricas.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i.org/10.1023/A:1007653328733" TargetMode="External"/><Relationship Id="rId37" Type="http://schemas.openxmlformats.org/officeDocument/2006/relationships/hyperlink" Target="https://doi.org/10.1080/01621459.1996.10476902" TargetMode="External"/><Relationship Id="rId43" Type="http://schemas.openxmlformats.org/officeDocument/2006/relationships/hyperlink" Target="https://doi.org/10.1080/19439342.2016.1244555" TargetMode="External"/><Relationship Id="rId44" Type="http://schemas.openxmlformats.org/officeDocument/2006/relationships/hyperlink" Target="https://doi.org/10.1093/ije/dyl129" TargetMode="External"/><Relationship Id="rId50" Type="http://schemas.openxmlformats.org/officeDocument/2006/relationships/hyperlink" Target="https://doi.org/10.1093/jopart/muu009" TargetMode="External"/><Relationship Id="rId47" Type="http://schemas.openxmlformats.org/officeDocument/2006/relationships/hyperlink" Target="https://doi.org/10.1093/pan/mpt024" TargetMode="External"/><Relationship Id="rId45" Type="http://schemas.openxmlformats.org/officeDocument/2006/relationships/hyperlink" Target="https://doi.org/10.1093/qje/qjz013" TargetMode="External"/><Relationship Id="rId55" Type="http://schemas.openxmlformats.org/officeDocument/2006/relationships/hyperlink" Target="https://doi.org/10.1093/wbro/lky010" TargetMode="External"/><Relationship Id="rId38" Type="http://schemas.openxmlformats.org/officeDocument/2006/relationships/hyperlink" Target="https://doi.org/10.1162/rest_a_00716" TargetMode="External"/><Relationship Id="rId53" Type="http://schemas.openxmlformats.org/officeDocument/2006/relationships/hyperlink" Target="https://doi.org/10.1177/0275074016651958" TargetMode="External"/><Relationship Id="rId46" Type="http://schemas.openxmlformats.org/officeDocument/2006/relationships/hyperlink" Target="https://doi.org/10.1177/1745691614551642" TargetMode="External"/><Relationship Id="rId48" Type="http://schemas.openxmlformats.org/officeDocument/2006/relationships/hyperlink" Target="https://doi.org/10.1257/aer.103.5.1797" TargetMode="External"/><Relationship Id="rId39" Type="http://schemas.openxmlformats.org/officeDocument/2006/relationships/hyperlink" Target="https://doi.org/10.1257/aer.20180615" TargetMode="External"/><Relationship Id="rId40" Type="http://schemas.openxmlformats.org/officeDocument/2006/relationships/hyperlink" Target="https://doi.org/10.1287/mnsc.2019.3337" TargetMode="External"/><Relationship Id="rId42" Type="http://schemas.openxmlformats.org/officeDocument/2006/relationships/hyperlink" Target="https://doi.org/10.1332/251569119X15675896589688" TargetMode="External"/><Relationship Id="rId41" Type="http://schemas.openxmlformats.org/officeDocument/2006/relationships/hyperlink" Target="https://doi.org/10.1590/0034-7612162254" TargetMode="External"/><Relationship Id="rId52" Type="http://schemas.openxmlformats.org/officeDocument/2006/relationships/hyperlink" Target="https://doi.org/10.20435/inter.v22i2.2965" TargetMode="External"/><Relationship Id="rId54" Type="http://schemas.openxmlformats.org/officeDocument/2006/relationships/hyperlink" Target="https://doi.org/10.22617/TCS179188-2" TargetMode="External"/><Relationship Id="rId49"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1" Type="http://schemas.openxmlformats.org/officeDocument/2006/relationships/hyperlink" Target="https://github.com/fcarva/aval-pol/blob/main/analise/07_hipoteses_h1_h3.py" TargetMode="External"/><Relationship Id="rId32" Type="http://schemas.openxmlformats.org/officeDocument/2006/relationships/hyperlink" Target="https://github.com/fcarva/aval-pol/blob/main/analise/10_poder_mercado_rubricas.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Felipe Carvalho Souza Santos — PPGEco/UFES, PECO 5046-6046 Avaliação de Políticas Públicas</dc:creator>
  <dc:language>pt-BR</dc:language>
  <cp:keywords/>
  <dcterms:created xsi:type="dcterms:W3CDTF">2026-09-27T19:32:30Z</dcterms:created>
  <dcterms:modified xsi:type="dcterms:W3CDTF">2026-09-27T19:32:30Z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