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estrutura uma avaliação de impacto. Reconstruímos a teoria da mudança, separando entrada, financiamento e entrega, e auditamos cinco premissas com os anexos oficiais de 2022 a 2026 e o Mapa Cultural. Duas premissas não são atendidas pelo desenho: a habilitação qualifica sem priorizar, e o excesso de demanda é racionado pela ordem de chegada dos termos de patrocínio. Em 2023 e 2024, termos equivalentes a 28% e 35% do montante foram indeferidos. A premissa de que as empresas escolhem pelo interesse público é contestada: duas empresas respondem por metade da renúncia de 2025, mas a escolha não mostra viés territorial forte. A entrada e a entrega são indeterminadas, porque a SECULT não publica os inscritos nem o público alcançado. Propomos três perguntas de avaliação (a adicionalidade do financiamento, o efeito do atrito na entrada e o papel da avaliação da SECULT), com parâmetros, vieses, estratégias candidatas, fontes de dados e poder estatístico.</w:t>
      </w:r>
    </w:p>
    <w:p>
      <w:pPr>
        <w:pStyle w:val="BodyText"/>
      </w:pPr>
      <w:r>
        <w:rPr>
          <w:b/>
          <w:bCs/>
        </w:rPr>
        <w:t xml:space="preserve">Palavras-chave:</w:t>
      </w:r>
      <w:r>
        <w:t xml:space="preserve"> </w:t>
      </w:r>
      <w:r>
        <w:t xml:space="preserve">incentivo fiscal à cultura; gasto tributário; teoria da mudança; funil de atrito; avaliação de impacto.</w:t>
      </w:r>
    </w:p>
    <w:bookmarkStart w:id="12"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que não passa pelo lado da despesa do orçamento: a renúncia efetiva equivale a 14% a 21% do gasto estadual direto na função cultura em 2022-2025 (SECULT, 2026c; BRASIL, 2026a).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sua primeira avaliação, conduzida pelo Instituto Jones dos Santos Neves com a SECULT e a FAPES, teve resultados preliminares apresentados em julho de 2026 (SECULT, 2026d), aos quais este artigo não teve acesso.</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com os dados administrativos; a seção 5 transforma as premissas em perguntas de avaliação de impacto;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no anexo de captação da SECULT),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Em 2023 e 2024, a comissão habilitava o projeto e abria um prazo de captação de um ano, prorrogável uma vez; o projeto que terminasse o prazo sem compromissos de ao menos 50% do valor aprovado era arquivado (SECULT, 2023a; 2024a, arts. 32-36). Em 2025 a ordem se inverteu: o projeto só vai à comissão com termos de patrocínio de ao menos 35% do valor (SECULT, 2025a, arts. 41-45) ou, desde maio, com carta de intenção de patrocínio apresentada em 120 dias, sob pena de arquivamento (SECULT, 2025b). A terceira é a</w:t>
      </w:r>
      <w:r>
        <w:t xml:space="preserve"> </w:t>
      </w:r>
      <w:r>
        <w:rPr>
          <w:b/>
          <w:bCs/>
        </w:rPr>
        <w:t xml:space="preserve">pouca informação publicada</w:t>
      </w:r>
      <w:r>
        <w:t xml:space="preserve">: os anexos não trazem o CNPJ do proponente, a sede,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a renúncia supera muitas vezes o apoio federal direto às artes e serve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w:t>
      </w:r>
    </w:p>
    <w:p>
      <w:pPr>
        <w:pStyle w:val="BodyText"/>
      </w:pPr>
      <w:r>
        <w:rPr>
          <w:b/>
          <w:bCs/>
        </w:rPr>
        <w:t xml:space="preserve">Evidência causal.</w:t>
      </w:r>
      <w:r>
        <w:t xml:space="preserve"> </w:t>
      </w:r>
      <w:r>
        <w:t xml:space="preserve">Não localizamos avaliação causal de incentivo cultural no Brasil; os estudos de leis estaduais via ICMS são descritivos: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da cultura, Colombo e Cruz (2023) avaliam outro gasto tributário, a Lei do Bem, com pareamento e diferenças em diferenças: há efeito sobre o gasto em P&amp;D, o pessoal de pesquisa e o emprego, mas não sobre os resultados de inovação. No exterior, o análogo mais próximo em instrumento são os créditos estaduais ao audiovisual nos Estados Unidos, cujas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a Capital Europeia da Cultura elevou em 4,5% o PIB per capita das regiões das cidades-sede (GOMES; LIBRERO-CANO, 2018). Entre recurso público e privado, os resultados vão de leve</w:t>
      </w:r>
      <w:r>
        <w:t xml:space="preserve"> </w:t>
      </w:r>
      <w:r>
        <w:rPr>
          <w:i/>
          <w:iCs/>
        </w:rPr>
        <w:t xml:space="preserve">crowding-in</w:t>
      </w:r>
      <w:r>
        <w:t xml:space="preserve"> </w:t>
      </w:r>
      <w:r>
        <w:t xml:space="preserve">à independência (BORGONOVI; O’HARE, 2004). Duas lições servem à LICC: em instrumentos que financiam produções dispersas, os efeitos plausíveis são proximais e pequenos; e os desenhos críveis usam como comparação candidatos não escolhidos, como as cidades candidatas à Capital Europeia da Cultura.</w:t>
      </w:r>
    </w:p>
    <w:bookmarkEnd w:id="14"/>
    <w:bookmarkStart w:id="20"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a LICC não explicita sua lógica, reconstruímos a teoria da mudança (Figura 1) pelos cinco passos do J-PAL usados na disciplina: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que implementa. Na LICC, o produto</w:t>
      </w:r>
      <w:r>
        <w:t xml:space="preserve"> </w:t>
      </w:r>
      <w:r>
        <w:t xml:space="preserve">“projeto patrocinado”</w:t>
      </w:r>
      <w:r>
        <w:t xml:space="preserve"> </w:t>
      </w:r>
      <w:r>
        <w:t xml:space="preserve">depende de um terceiro ator, a empresa, que decide quem recebe. Por isso a Figura 1 separa três cadeias, como recomendam White e Raitzer (2017): a entrada (inscrição e habilitação), o financiamento (escolha da empresa e validação até o teto) e a entrega, e indica quem decide em cada elo.</w:t>
      </w:r>
    </w:p>
    <w:p>
      <w:pPr>
        <w:pStyle w:val="BodyText"/>
      </w:pPr>
      <w:r>
        <w:t xml:space="preserve">A hipótese causal, no gabarito do J-PAL,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Tratamos cinco delas como hipóteses a testar, marcadas nos elos da Figura 1 e auditadas no Quadro 2: o atrito na entrada (H3), a habilitação que qualifica sem priorizar (H2a), a escolha da empresa (H1a), o racionamento no teto (H2b) e a adicionalidade (H1b). H2 descreve o que se perde ao longo do funil; H1 e H3 são explicações concorrentes para a perda.</w:t>
      </w:r>
    </w:p>
    <w:p>
      <w:pPr>
        <w:pStyle w:val="BodyText"/>
        <w:keepNext/>
      </w:pPr>
      <w:r>
        <w:rPr>
          <w:b/>
          <w:bCs/>
        </w:rPr>
        <w:t xml:space="preserve">Figura 1 – Teoria da mudança da LICC, com as premissas testadas</w:t>
      </w:r>
    </w:p>
    <w:p>
      <w:pPr>
        <w:pStyle w:val="BodyText"/>
      </w:pPr>
      <w:r>
        <w:drawing>
          <wp:inline>
            <wp:extent cx="5334000" cy="7222066"/>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334000" cy="7222066"/>
                    </a:xfrm>
                    <a:prstGeom prst="rect">
                      <a:avLst/>
                    </a:prstGeom>
                    <a:noFill/>
                    <a:ln w="9525">
                      <a:noFill/>
                      <a:headEnd/>
                      <a:tailEnd/>
                    </a:ln>
                  </pic:spPr>
                </pic:pic>
              </a:graphicData>
            </a:graphic>
          </wp:inline>
        </w:drawing>
      </w:r>
    </w:p>
    <w:p>
      <w:pPr>
        <w:pStyle w:val="BodyText"/>
      </w:pPr>
      <w:r>
        <w:rPr>
          <w:sz w:val="20"/>
        </w:rPr>
        <w:t xml:space="preserve">Fonte: elaboração própria, no formato de cadeia de resultados do J-PAL usado por Gertler</w:t>
      </w:r>
      <w:r>
        <w:rPr>
          <w:sz w:val="20"/>
        </w:rPr>
        <w:t xml:space="preserve"> </w:t>
      </w:r>
      <w:r>
        <w:rPr>
          <w:i/>
          <w:iCs/>
          <w:sz w:val="20"/>
        </w:rPr>
        <w:t xml:space="preserve">et al.</w:t>
      </w:r>
      <w:r>
        <w:rPr>
          <w:sz w:val="20"/>
        </w:rPr>
        <w:t xml:space="preserve"> </w:t>
      </w:r>
      <w:r>
        <w:rPr>
          <w:sz w:val="20"/>
        </w:rPr>
        <w:t xml:space="preserve">(2018), com base nas normas do Quadro 1. Setas tracejadas indicam elos sem dado público.</w:t>
      </w:r>
    </w:p>
    <w:bookmarkEnd w:id="18"/>
    <w:bookmarkStart w:id="19" w:name="avaliação-do-desenho"/>
    <w:p>
      <w:pPr>
        <w:pStyle w:val="Heading2"/>
      </w:pPr>
      <w:r>
        <w:t xml:space="preserve">4.2 Avaliação do desenho</w:t>
      </w:r>
    </w:p>
    <w:p>
      <w:pPr>
        <w:pStyle w:val="FirstParagraph"/>
      </w:pPr>
      <w:r>
        <w:t xml:space="preserve">Aplicamos as perguntas de avaliação de desenho do material da disciplina: o problema está formulado? os objetivos são mensuráveis? cada elo tem premissa crível e indicador? quanto se perde ao longo da cadeia? Pelo mecanismo de mapeamento de Williams (2020), a premissa de cada elo é confrontada com o contexto real e classificada como sustentada, não atendida, contestada ou indeterminada (Quadro 2).</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O art. 3º lista onze finalidades de</w:t>
      </w:r>
      <w:r>
        <w:t xml:space="preserve"> </w:t>
      </w:r>
      <w:r>
        <w:t xml:space="preserve">“interesse público”</w:t>
      </w:r>
      <w:r>
        <w:t xml:space="preserve">, das quais o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Isso falha o critério de que programas declarem os resultados e a magnitude da contribuição esperada (BARROS; LIMA, 2017) e o padrão de governança de renúncias do TCU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justamente onde não há dado: antes da habilitação e depois da execução. Entre os 25.441 agentes cadastrados no Mapa Cultural e os cerca de 100 proponentes habilitados por ciclo, não se sabe quantos se inscreveram nem quantos foram inabilitados. Nas etapas observadas, a maioria passa: 68% dos habilitados de 2022-2024 com situação resolvida captaram.</w:t>
      </w:r>
    </w:p>
    <w:p>
      <w:pPr>
        <w:pStyle w:val="BodyText"/>
        <w:keepNext/>
      </w:pPr>
      <w:r>
        <w:rPr>
          <w:b/>
          <w:bCs/>
        </w:rPr>
        <w:t xml:space="preserve">Tabela 1 – Funil de atrito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4054"/>
        <w:gridCol w:w="2545"/>
        <w:gridCol w:w="1320"/>
      </w:tblGrid>
      <w:tr>
        <w:trPr>
          <w:tblHeader w:val="on"/>
          <w:tblHeader w:val="true"/>
        </w:trPr>
        <w:tc>
          <w:tcPr/>
          <w:p>
            <w:pPr>
              <w:pStyle w:val="Compact"/>
              <w:keepNext/>
              <w:spacing w:after="0" w:before="0"/>
              <w:jc w:val="left"/>
            </w:pPr>
            <w:r>
              <w:rPr>
                <w:b/>
                <w:sz w:val="20"/>
              </w:rPr>
              <w:t xml:space="preserve">Etapa</w:t>
            </w:r>
          </w:p>
        </w:tc>
        <w:tc>
          <w:tcPr/>
          <w:p>
            <w:pPr>
              <w:pStyle w:val="Compact"/>
              <w:keepNext/>
              <w:spacing w:after="0" w:before="0"/>
              <w:jc w:val="left"/>
            </w:pPr>
            <w:r>
              <w:rPr>
                <w:b/>
                <w:sz w:val="20"/>
              </w:rPr>
              <w:t xml:space="preserve">Valor</w:t>
            </w:r>
          </w:p>
        </w:tc>
        <w:tc>
          <w:tcPr/>
          <w:p>
            <w:pPr>
              <w:pStyle w:val="Compact"/>
              <w:keepNext/>
              <w:spacing w:after="0" w:before="0"/>
              <w:jc w:val="left"/>
            </w:pPr>
            <w:r>
              <w:rPr>
                <w:b/>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Taxa de captação entre os resolvidos</w:t>
            </w:r>
          </w:p>
        </w:tc>
        <w:tc>
          <w:tcPr/>
          <w:p>
            <w:pPr>
              <w:pStyle w:val="Compact"/>
              <w:keepNext/>
              <w:spacing w:after="0" w:before="0"/>
              <w:jc w:val="left"/>
            </w:pPr>
            <w:r>
              <w:rPr>
                <w:sz w:val="20"/>
              </w:rPr>
              <w:t xml:space="preserve">84%; 70%; 55%</w:t>
            </w:r>
          </w:p>
        </w:tc>
        <w:tc>
          <w:tcPr/>
          <w:p>
            <w:pPr>
              <w:pStyle w:val="Compact"/>
              <w:keepNext/>
              <w:spacing w:after="0" w:before="0"/>
              <w:jc w:val="left"/>
            </w:pPr>
            <w:r>
              <w:rPr>
                <w:sz w:val="20"/>
              </w:rPr>
              <w:t xml:space="preserve">ciclos 2022; 2023; 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sz w:val="20"/>
        </w:rPr>
        <w:t xml:space="preserve">Fonte: elaboração própria com base em SECULT (2026b; 2026c) e na API pública do Mapa Cultural do Espírito Santo (SECULT, 2026e). Tabelas de origem:</w:t>
      </w:r>
      <w:r>
        <w:rPr>
          <w:sz w:val="20"/>
        </w:rPr>
        <w:t xml:space="preserve"> </w:t>
      </w:r>
      <w:r>
        <w:rPr>
          <w:rStyle w:val="VerbatimChar"/>
          <w:sz w:val="20"/>
        </w:rPr>
        <w:t xml:space="preserve">analise/tabelas/07_funil_por_ciclo.csv</w:t>
      </w:r>
      <w:r>
        <w:rPr>
          <w:sz w:val="20"/>
        </w:rPr>
        <w:t xml:space="preserve">,</w:t>
      </w:r>
      <w:r>
        <w:rPr>
          <w:sz w:val="20"/>
        </w:rPr>
        <w:t xml:space="preserve"> </w:t>
      </w:r>
      <w:r>
        <w:rPr>
          <w:rStyle w:val="VerbatimChar"/>
          <w:sz w:val="20"/>
        </w:rPr>
        <w:t xml:space="preserve">07_funil_captacao_anual.csv</w:t>
      </w:r>
      <w:r>
        <w:rPr>
          <w:sz w:val="20"/>
        </w:rPr>
        <w:t xml:space="preserve"> </w:t>
      </w:r>
      <w:r>
        <w:rPr>
          <w:sz w:val="20"/>
        </w:rPr>
        <w:t xml:space="preserve">e</w:t>
      </w:r>
      <w:r>
        <w:rPr>
          <w:sz w:val="20"/>
        </w:rPr>
        <w:t xml:space="preserve"> </w:t>
      </w:r>
      <w:r>
        <w:rPr>
          <w:rStyle w:val="VerbatimChar"/>
          <w:sz w:val="20"/>
        </w:rPr>
        <w:t xml:space="preserve">07_mapa_cultural_universo.csv</w:t>
      </w:r>
      <w:r>
        <w:rPr>
          <w:sz w:val="20"/>
        </w:rPr>
        <w:t xml:space="preserve">.</w:t>
      </w:r>
    </w:p>
    <w:p>
      <w:pPr>
        <w:pStyle w:val="BodyText"/>
        <w:keepNext/>
      </w:pPr>
      <w:r>
        <w:rPr>
          <w:b/>
          <w:bCs/>
        </w:rPr>
        <w:t xml:space="preserve">Quadro 2 – Auditoria das premissas da teoria da mudança</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1"/>
        <w:gridCol w:w="2329"/>
        <w:gridCol w:w="3540"/>
        <w:gridCol w:w="1118"/>
      </w:tblGrid>
      <w:tr>
        <w:trPr>
          <w:tblHeader w:val="on"/>
          <w:tblHeader w:val="true"/>
        </w:trPr>
        <w:tc>
          <w:tcPr/>
          <w:p>
            <w:pPr>
              <w:pStyle w:val="Compact"/>
              <w:spacing w:after="0" w:before="0"/>
              <w:jc w:val="left"/>
            </w:pPr>
            <w:r>
              <w:rPr>
                <w:b/>
                <w:sz w:val="20"/>
              </w:rPr>
              <w:t xml:space="preserve">Elo</w:t>
            </w:r>
          </w:p>
        </w:tc>
        <w:tc>
          <w:tcPr/>
          <w:p>
            <w:pPr>
              <w:pStyle w:val="Compact"/>
              <w:spacing w:after="0" w:before="0"/>
              <w:jc w:val="left"/>
            </w:pPr>
            <w:r>
              <w:rPr>
                <w:b/>
                <w:sz w:val="20"/>
              </w:rPr>
              <w:t xml:space="preserve">Premissa</w:t>
            </w:r>
          </w:p>
        </w:tc>
        <w:tc>
          <w:tcPr/>
          <w:p>
            <w:pPr>
              <w:pStyle w:val="Compact"/>
              <w:spacing w:after="0" w:before="0"/>
              <w:jc w:val="left"/>
            </w:pPr>
            <w:r>
              <w:rPr>
                <w:b/>
                <w:sz w:val="20"/>
              </w:rPr>
              <w:t xml:space="preserve">Contexto real</w:t>
            </w:r>
          </w:p>
        </w:tc>
        <w:tc>
          <w:tcPr/>
          <w:p>
            <w:pPr>
              <w:pStyle w:val="Compact"/>
              <w:spacing w:after="0" w:before="0"/>
              <w:jc w:val="left"/>
            </w:pPr>
            <w:r>
              <w:rPr>
                <w:b/>
                <w:sz w:val="20"/>
              </w:rPr>
              <w:t xml:space="preserve">Situação</w:t>
            </w:r>
          </w:p>
        </w:tc>
      </w:tr>
      <w:tr>
        <w:tc>
          <w:tcPr/>
          <w:p>
            <w:pPr>
              <w:pStyle w:val="Compact"/>
              <w:spacing w:after="0" w:before="0"/>
              <w:jc w:val="left"/>
            </w:pPr>
            <w:r>
              <w:rPr>
                <w:sz w:val="20"/>
              </w:rPr>
              <w:t xml:space="preserve">Entrada (H3)</w:t>
            </w:r>
          </w:p>
        </w:tc>
        <w:tc>
          <w:tcPr/>
          <w:p>
            <w:pPr>
              <w:pStyle w:val="Compact"/>
              <w:spacing w:after="0" w:before="0"/>
              <w:jc w:val="left"/>
            </w:pPr>
            <w:r>
              <w:rPr>
                <w:sz w:val="20"/>
              </w:rPr>
              <w:t xml:space="preserve">Quem tem projeto de valor público consegue se inscrever</w:t>
            </w:r>
          </w:p>
        </w:tc>
        <w:tc>
          <w:tcPr/>
          <w:p>
            <w:pPr>
              <w:pStyle w:val="Compact"/>
              <w:spacing w:after="0" w:before="0"/>
              <w:jc w:val="left"/>
            </w:pPr>
            <w:r>
              <w:rPr>
                <w:sz w:val="20"/>
              </w:rPr>
              <w:t xml:space="preserve">A inscrição exige CNPJ com finalidade cultural, sede em nome próprio e certidão estadual. 14 municípios do interior nunca tiveram projeto habilitado. Estreantes: 56 no ciclo 2024, 26 em 2025, 40 em 2026</w:t>
            </w:r>
          </w:p>
        </w:tc>
        <w:tc>
          <w:tcPr/>
          <w:p>
            <w:pPr>
              <w:pStyle w:val="Compact"/>
              <w:spacing w:after="0" w:before="0"/>
              <w:jc w:val="left"/>
            </w:pPr>
            <w:r>
              <w:rPr>
                <w:sz w:val="20"/>
              </w:rPr>
              <w:t xml:space="preserve">Indeterminado: sem inscritos</w:t>
            </w:r>
          </w:p>
        </w:tc>
      </w:tr>
      <w:tr>
        <w:tc>
          <w:tcPr/>
          <w:p>
            <w:pPr>
              <w:pStyle w:val="Compact"/>
              <w:spacing w:after="0" w:before="0"/>
              <w:jc w:val="left"/>
            </w:pPr>
            <w:r>
              <w:rPr>
                <w:sz w:val="20"/>
              </w:rPr>
              <w:t xml:space="preserve">Habilitação (H2a)</w:t>
            </w:r>
          </w:p>
        </w:tc>
        <w:tc>
          <w:tcPr/>
          <w:p>
            <w:pPr>
              <w:pStyle w:val="Compact"/>
              <w:spacing w:after="0" w:before="0"/>
              <w:jc w:val="left"/>
            </w:pPr>
            <w:r>
              <w:rPr>
                <w:sz w:val="20"/>
              </w:rPr>
              <w:t xml:space="preserve">O mérito avaliado pela SECULT orienta quem é financiado</w:t>
            </w:r>
          </w:p>
        </w:tc>
        <w:tc>
          <w:tcPr/>
          <w:p>
            <w:pPr>
              <w:pStyle w:val="Compact"/>
              <w:spacing w:after="0" w:before="0"/>
              <w:jc w:val="left"/>
            </w:pPr>
            <w:r>
              <w:rPr>
                <w:sz w:val="20"/>
              </w:rPr>
              <w:t xml:space="preserve">O parecer indica, por critério, se o projeto atende ou não, e a CAP decide só habilitar ou não, em fluxo contínuo; não há nota nem ordem de prioridade. Em 2022-2024, 95 de 293 habilitados expiraram sem captar</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Escolha (H1a)</w:t>
            </w:r>
          </w:p>
        </w:tc>
        <w:tc>
          <w:tcPr/>
          <w:p>
            <w:pPr>
              <w:pStyle w:val="Compact"/>
              <w:spacing w:after="0" w:before="0"/>
              <w:jc w:val="left"/>
            </w:pPr>
            <w:r>
              <w:rPr>
                <w:sz w:val="20"/>
              </w:rPr>
              <w:t xml:space="preserve">A empresa escolhe pelo interesse público, também fora do circuito consolidado</w:t>
            </w:r>
          </w:p>
        </w:tc>
        <w:tc>
          <w:tcPr/>
          <w:p>
            <w:pPr>
              <w:pStyle w:val="Compact"/>
              <w:spacing w:after="0" w:before="0"/>
              <w:jc w:val="left"/>
            </w:pPr>
            <w:r>
              <w:rPr>
                <w:sz w:val="20"/>
              </w:rPr>
              <w:t xml:space="preserve">Duas empresas somam metade da renúncia de 2025; energia e gás, 52%. Execução de 68% na RMGV e 63% no interior. Recorrentes captam mais (71% contra 57%)</w:t>
            </w:r>
          </w:p>
        </w:tc>
        <w:tc>
          <w:tcPr/>
          <w:p>
            <w:pPr>
              <w:pStyle w:val="Compact"/>
              <w:spacing w:after="0" w:before="0"/>
              <w:jc w:val="left"/>
            </w:pPr>
            <w:r>
              <w:rPr>
                <w:sz w:val="20"/>
              </w:rPr>
              <w:t xml:space="preserve">Contestada</w:t>
            </w:r>
          </w:p>
        </w:tc>
      </w:tr>
      <w:tr>
        <w:tc>
          <w:tcPr/>
          <w:p>
            <w:pPr>
              <w:pStyle w:val="Compact"/>
              <w:spacing w:after="0" w:before="0"/>
              <w:jc w:val="left"/>
            </w:pPr>
            <w:r>
              <w:rPr>
                <w:sz w:val="20"/>
              </w:rPr>
              <w:t xml:space="preserve">Validação (H2b)</w:t>
            </w:r>
          </w:p>
        </w:tc>
        <w:tc>
          <w:tcPr/>
          <w:p>
            <w:pPr>
              <w:pStyle w:val="Compact"/>
              <w:spacing w:after="0" w:before="0"/>
              <w:jc w:val="left"/>
            </w:pPr>
            <w:r>
              <w:rPr>
                <w:sz w:val="20"/>
              </w:rPr>
              <w:t xml:space="preserve">O racionamento no teto segue critério público</w:t>
            </w:r>
          </w:p>
        </w:tc>
        <w:tc>
          <w:tcPr/>
          <w:p>
            <w:pPr>
              <w:pStyle w:val="Compact"/>
              <w:spacing w:after="0" w:before="0"/>
              <w:jc w:val="left"/>
            </w:pPr>
            <w:r>
              <w:rPr>
                <w:sz w:val="20"/>
              </w:rPr>
              <w:t xml:space="preserve">Em 2023 e 2024, termos com patrocinador de 28% e 35% do montante foram indeferidos pela ordem de chegada</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Entrega (H1b)</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Não há dado de público nem de gratuidade</w:t>
            </w:r>
          </w:p>
        </w:tc>
        <w:tc>
          <w:tcPr/>
          <w:p>
            <w:pPr>
              <w:pStyle w:val="Compact"/>
              <w:spacing w:after="0" w:before="0"/>
              <w:jc w:val="left"/>
            </w:pPr>
            <w:r>
              <w:rPr>
                <w:sz w:val="20"/>
              </w:rPr>
              <w:t xml:space="preserve">Indeterminado: sem dado</w:t>
            </w:r>
          </w:p>
        </w:tc>
      </w:tr>
    </w:tbl>
    <w:p>
      <w:pPr>
        <w:pStyle w:val="BodyText"/>
      </w:pPr>
      <w:r>
        <w:rPr>
          <w:sz w:val="20"/>
        </w:rPr>
        <w:t xml:space="preserve">Fonte: elaboração própria, no formato do mecanismo de mapeamento de Williams (2020), com base nas normas do Quadro 1, em SECULT (2026b; 2026c) e nas tabelas</w:t>
      </w:r>
      <w:r>
        <w:rPr>
          <w:sz w:val="20"/>
        </w:rPr>
        <w:t xml:space="preserve"> </w:t>
      </w:r>
      <w:r>
        <w:rPr>
          <w:rStyle w:val="VerbatimChar"/>
          <w:sz w:val="20"/>
        </w:rPr>
        <w:t xml:space="preserve">03_*.csv</w:t>
      </w:r>
      <w:r>
        <w:rPr>
          <w:sz w:val="20"/>
        </w:rPr>
        <w:t xml:space="preserve"> </w:t>
      </w:r>
      <w:r>
        <w:rPr>
          <w:sz w:val="20"/>
        </w:rPr>
        <w:t xml:space="preserve">e</w:t>
      </w:r>
      <w:r>
        <w:rPr>
          <w:sz w:val="20"/>
        </w:rPr>
        <w:t xml:space="preserve"> </w:t>
      </w:r>
      <w:r>
        <w:rPr>
          <w:rStyle w:val="VerbatimChar"/>
          <w:sz w:val="20"/>
        </w:rPr>
        <w:t xml:space="preserve">07_*.csv</w:t>
      </w:r>
      <w:r>
        <w:rPr>
          <w:sz w:val="20"/>
        </w:rPr>
        <w:t xml:space="preserve"> </w:t>
      </w:r>
      <w:r>
        <w:rPr>
          <w:sz w:val="20"/>
        </w:rPr>
        <w:t xml:space="preserve">de</w:t>
      </w:r>
      <w:r>
        <w:rPr>
          <w:sz w:val="20"/>
        </w:rPr>
        <w:t xml:space="preserve"> </w:t>
      </w:r>
      <w:r>
        <w:rPr>
          <w:rStyle w:val="VerbatimChar"/>
          <w:sz w:val="20"/>
        </w:rPr>
        <w:t xml:space="preserve">analise/tabelas/</w:t>
      </w:r>
      <w:r>
        <w:rPr>
          <w:sz w:val="20"/>
        </w:rPr>
        <w:t xml:space="preserve">.</w:t>
      </w:r>
    </w:p>
    <w:p>
      <w:pPr>
        <w:pStyle w:val="BodyText"/>
      </w:pPr>
      <w:r>
        <w:rPr>
          <w:b/>
          <w:bCs/>
        </w:rPr>
        <w:t xml:space="preserve">Entrada.</w:t>
      </w:r>
      <w:r>
        <w:t xml:space="preserve"> </w:t>
      </w:r>
      <w:r>
        <w:t xml:space="preserve">Pessoa física não se inscreve e o microempreendedor individual tem limite de valor (SECULT, 2025a, arts. 17 e 19). Em 2024 as inscrições foram fechadas no meio do ano por esgotamento do teto (SECULT, 2024b), e desde 2025 o proponente precisa conseguir o patrocinador antes da comissão. No mesmo período, a entrada de proponentes novos caiu (estreante é quem não foi habilitado nos dois ciclos anteriores). A difusão territorial parou: 39 municípios tiveram o primeiro projeto habilitado em 2022, 16 em 2023 e 3 por ciclo desde então. Nada disso isola o atrito, porque teto, janelas e regras mudaram ao mesmo tempo.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Habilitação e validação.</w:t>
      </w:r>
      <w:r>
        <w:t xml:space="preserve"> </w:t>
      </w:r>
      <w:r>
        <w:t xml:space="preserve">A análise tem três etapas: documentação, parecer técnico sobre os nove critérios do decreto e deliberação da comissão por maioria simples. O parecer</w:t>
      </w:r>
      <w:r>
        <w:t xml:space="preserve"> </w:t>
      </w:r>
      <w:r>
        <w:t xml:space="preserve">“deverá indicar a habilitação ou inabilitação”</w:t>
      </w:r>
      <w:r>
        <w:t xml:space="preserve"> </w:t>
      </w:r>
      <w:r>
        <w:t xml:space="preserve">(ESPÍRITO SANTO, 2021b, art. 14; SECULT, 2025a, arts. 37-42). A comissão se reúne semanalmente e o certificado de aptidão sai projeto a projeto (SECULT, 2023b, art. 9º; 2025a, arts. 40 e 45): os inscritos não disputam vagas entre si, e por isso não há classificação. Nenhuma norma lida prevê nota, peso, nota de corte ou ordem de prioridade, e no Mapa Cultural as fases de parecer e de comissão estão registradas como</w:t>
      </w:r>
      <w:r>
        <w:t xml:space="preserve"> </w:t>
      </w:r>
      <w:r>
        <w:t xml:space="preserve">“avaliação simplificada”</w:t>
      </w:r>
      <w:r>
        <w:t xml:space="preserve">, não como avaliação técnica (SECULT, 2026e). O modelo de parecer também não atribui nota: para cada critério, o parecerista indica se o projeto</w:t>
      </w:r>
      <w:r>
        <w:t xml:space="preserve"> </w:t>
      </w:r>
      <w:r>
        <w:t xml:space="preserve">“atende ou não”</w:t>
      </w:r>
      <w:r>
        <w:t xml:space="preserve"> </w:t>
      </w:r>
      <w:r>
        <w:t xml:space="preserve">e, ao final, sugere habilitação, inabilitação ou diligência (SECULT, 2026f). A única pontuação do processo é a dos pareceristas, no edital que os credencia. A habilitação qualifica, mas não prioriza, e autoriza mais do que o teto financia. A escolha entre projetos considerados aptos passa, assim, à empresa e à fila de validação. Com o montante esgotado de 2023 a 2025, o excesso de demanda com patrocinador foi racionado pela ordem de chegada dos termos, não por mérito (SECULT, 2026c).</w:t>
      </w:r>
    </w:p>
    <w:p>
      <w:pPr>
        <w:pStyle w:val="BodyText"/>
      </w:pPr>
      <w:r>
        <w:rPr>
          <w:b/>
          <w:bCs/>
        </w:rPr>
        <w:t xml:space="preserve">Escolha da empresa.</w:t>
      </w:r>
      <w:r>
        <w:t xml:space="preserve"> </w:t>
      </w:r>
      <w:r>
        <w:t xml:space="preserve">Com crédito integral, a empresa escolhe o destino do ICMS que pagaria e fica com a marca; como o limite por patrocinador é uma fração do ICMS recolhido (Quadro 1), as maiores contribuintes têm mais espaço para patrocinar.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Entre as companhias abertas brasileiras, a chance de patrocinar cultura cresce com o porte da empresa e com a concentração do setor (ALCÂNTARA; BENEDICTO; SILVA, 2019). Das 26 empresas que patrocinaram em 2025, 13 também aparecem como incentivadoras da Lei Rouanet, e elas responderam por 86% da renúncia daquele ano (BRASIL, 2026b). A evidência sobre o destino é mista. Quando a busca de patrocinador passou para antes da comissão, a parcela da RMGV no valor habilitado atribuível a um município caiu de 74% (ciclo 2024) para 57% (2025). Projetos que pediram exatamente o teto de R$ 500 mil foram executados com mais frequência que os menores. Esses fatos têm explicações que não dependem da marca: quem já tem patrocinador acertado pede o teto, e quem já captou tem rede e experiência. Daí a premissa ficar contestada.</w:t>
      </w:r>
    </w:p>
    <w:p>
      <w:pPr>
        <w:pStyle w:val="BodyText"/>
      </w:pPr>
      <w:r>
        <w:rPr>
          <w:b/>
          <w:bCs/>
        </w:rPr>
        <w:t xml:space="preserve">Entrega e território.</w:t>
      </w:r>
      <w:r>
        <w:t xml:space="preserve"> </w:t>
      </w:r>
      <w:r>
        <w:t xml:space="preserve">A maior reserva do teto, 30%, vai a eventos com mais de dez anos de existência, justamente os de maior chance de financiamento sem incentivo. É uma tensão com o critério do TCU (BRASIL, 2016) que fica como hipótese a testar, não como descumprimento apurado. A RMGV tem 49% da população e fica com 67% do valor atribuível a um município. O Gini do valor entre os 78 municípios é 0,88, e a diferença entre RMGV e interior explica só 7% da desigualdade na decomposição de Theil. Por isso a reserva de 10% para projetos fora da RMGV age sobre a menor parte dela.</w:t>
      </w:r>
    </w:p>
    <w:p>
      <w:pPr>
        <w:pStyle w:val="BodyText"/>
      </w:pPr>
      <w:r>
        <w:rPr>
          <w:b/>
          <w:bCs/>
        </w:rPr>
        <w:t xml:space="preserve">Monitoramento.</w:t>
      </w:r>
      <w:r>
        <w:t xml:space="preserve"> </w:t>
      </w:r>
      <w:r>
        <w:t xml:space="preserve">O que a SECULT publica cobre insumos e produtos, mas não a entrada (inscritos e inabilitados) nem o resultado (público, gratuidade, contrapartidas executadas). Os dois indicadores que a teoria da mudança mais exige falham no critério SMART de ser mensurável e atribuível. A lei já manda o regulamento definir a divulgação dos benefícios,</w:t>
      </w:r>
      <w:r>
        <w:t xml:space="preserve"> </w:t>
      </w:r>
      <w:r>
        <w:t xml:space="preserve">“inclusive no Portal da Transparência do Estado”</w:t>
      </w:r>
      <w:r>
        <w:t xml:space="preserve"> </w:t>
      </w:r>
      <w:r>
        <w:t xml:space="preserve">(ESPÍRITO SANTO, 2021a).</w:t>
      </w:r>
    </w:p>
    <w:p>
      <w:pPr>
        <w:pStyle w:val="BodyText"/>
      </w:pPr>
      <w:r>
        <w:t xml:space="preserve">Em síntese, com o dado público nenhum elo aparece claramente rompido. Duas premissas de critério não são atendidas pelo desenho: habilitar sem priorizar e racionar pela ordem de chegada. A escolha da empresa é contestada, e a entrada e a entrega ficam indeterminadas por falta de dado. A avaliação de impacto da seção 5 é desenhada para resolver as três últimas.</w:t>
      </w:r>
    </w:p>
    <w:bookmarkEnd w:id="19"/>
    <w:bookmarkEnd w:id="20"/>
    <w:bookmarkStart w:id="26" w:name="proposta-de-avaliação-de-impacto"/>
    <w:p>
      <w:pPr>
        <w:pStyle w:val="Heading1"/>
      </w:pPr>
      <w:r>
        <w:t xml:space="preserve">5 Proposta de avaliação de impacto</w:t>
      </w:r>
    </w:p>
    <w:bookmarkStart w:id="21" w:name="perguntas-e-parâmetros"/>
    <w:p>
      <w:pPr>
        <w:pStyle w:val="Heading2"/>
      </w:pPr>
      <w:r>
        <w:t xml:space="preserve">5.1 Perguntas e parâmetros</w:t>
      </w:r>
    </w:p>
    <w:p>
      <w:pPr>
        <w:pStyle w:val="FirstParagraph"/>
      </w:pPr>
      <w:r>
        <w:t xml:space="preserve">Como no material do J-PAL, as premissas do Quadro 2 viram perguntas de pesquisa: três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é igual ao efeito médio mais um viés de seleção e um viés de efeitos heterogêneos.</w:t>
      </w:r>
    </w:p>
    <w:p>
      <w:pPr>
        <w:pStyle w:val="BodyText"/>
        <w:keepNext/>
      </w:pPr>
      <w:r>
        <w:rPr>
          <w:b/>
          <w:bCs/>
        </w:rPr>
        <w:t xml:space="preserve">Quadro 3 – Perguntas de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1760"/>
        <w:gridCol w:w="1760"/>
        <w:gridCol w:w="1430"/>
        <w:gridCol w:w="1980"/>
      </w:tblGrid>
      <w:tr>
        <w:trPr>
          <w:tblHeader w:val="on"/>
          <w:tblHeader w:val="true"/>
        </w:trPr>
        <w:tc>
          <w:tcPr/>
          <w:p>
            <w:pPr>
              <w:pStyle w:val="Compact"/>
              <w:spacing w:after="0" w:before="0"/>
              <w:jc w:val="left"/>
            </w:pPr>
            <w:r>
              <w:rPr>
                <w:b/>
                <w:sz w:val="20"/>
              </w:rPr>
              <w:t xml:space="preserve">Hipótese</w:t>
            </w:r>
          </w:p>
        </w:tc>
        <w:tc>
          <w:tcPr/>
          <w:p>
            <w:pPr>
              <w:pStyle w:val="Compact"/>
              <w:spacing w:after="0" w:before="0"/>
              <w:jc w:val="left"/>
            </w:pPr>
            <w:r>
              <w:rPr>
                <w:b/>
                <w:sz w:val="20"/>
              </w:rPr>
              <w:t xml:space="preserve">Pergunta</w:t>
            </w:r>
          </w:p>
        </w:tc>
        <w:tc>
          <w:tcPr/>
          <w:p>
            <w:pPr>
              <w:pStyle w:val="Compact"/>
              <w:spacing w:after="0" w:before="0"/>
              <w:jc w:val="left"/>
            </w:pPr>
            <w:r>
              <w:rPr>
                <w:b/>
                <w:sz w:val="20"/>
              </w:rPr>
              <w:t xml:space="preserve">Unidade, tratamento e resultado</w:t>
            </w:r>
          </w:p>
        </w:tc>
        <w:tc>
          <w:tcPr/>
          <w:p>
            <w:pPr>
              <w:pStyle w:val="Compact"/>
              <w:spacing w:after="0" w:before="0"/>
              <w:jc w:val="left"/>
            </w:pPr>
            <w:r>
              <w:rPr>
                <w:b/>
                <w:sz w:val="20"/>
              </w:rPr>
              <w:t xml:space="preserve">Parâmetro</w:t>
            </w:r>
          </w:p>
        </w:tc>
        <w:tc>
          <w:tcPr/>
          <w:p>
            <w:pPr>
              <w:pStyle w:val="Compact"/>
              <w:spacing w:after="0" w:before="0"/>
              <w:jc w:val="left"/>
            </w:pPr>
            <w:r>
              <w:rPr>
                <w:b/>
                <w:sz w:val="20"/>
              </w:rPr>
              <w:t xml:space="preserve">Viés da comparação simples</w:t>
            </w:r>
          </w:p>
        </w:tc>
      </w:tr>
      <w:tr>
        <w:tc>
          <w:tcPr/>
          <w:p>
            <w:pPr>
              <w:pStyle w:val="Compact"/>
              <w:spacing w:after="0" w:before="0"/>
              <w:jc w:val="left"/>
            </w:pPr>
            <w:r>
              <w:rPr>
                <w:sz w:val="20"/>
              </w:rPr>
              <w:t xml:space="preserve">H1b</w:t>
            </w:r>
          </w:p>
        </w:tc>
        <w:tc>
          <w:tcPr/>
          <w:p>
            <w:pPr>
              <w:pStyle w:val="Compact"/>
              <w:spacing w:after="0" w:before="0"/>
              <w:jc w:val="left"/>
            </w:pPr>
            <w:r>
              <w:rPr>
                <w:sz w:val="20"/>
              </w:rPr>
              <w:t xml:space="preserve">Qual é o efeito de captar pela LICC sobre a realização e o alcance do projeto?</w:t>
            </w:r>
          </w:p>
        </w:tc>
        <w:tc>
          <w:tcPr/>
          <w:p>
            <w:pPr>
              <w:pStyle w:val="Compact"/>
              <w:spacing w:after="0" w:before="0"/>
              <w:jc w:val="left"/>
            </w:pPr>
            <w:r>
              <w:rPr>
                <w:sz w:val="20"/>
              </w:rPr>
              <w:t xml:space="preserve">Projeto habilitado;</w:t>
            </w:r>
            <w:r>
              <w:rPr>
                <w:sz w:val="20"/>
              </w:rPr>
              <w:t xml:space="preserve"> </w:t>
            </w:r>
            <w:r>
              <w:rPr>
                <w:i/>
                <w:iCs/>
                <w:sz w:val="20"/>
              </w:rPr>
              <w:t xml:space="preserve">T</w:t>
            </w:r>
            <w:r>
              <w:rPr>
                <w:sz w:val="20"/>
              </w:rPr>
              <w:t xml:space="preserve"> </w:t>
            </w:r>
            <w:r>
              <w:rPr>
                <w:sz w:val="20"/>
              </w:rPr>
              <w:t xml:space="preserve">= captou;</w:t>
            </w:r>
            <w:r>
              <w:rPr>
                <w:sz w:val="20"/>
              </w:rPr>
              <w:t xml:space="preserve"> </w:t>
            </w:r>
            <w:r>
              <w:rPr>
                <w:i/>
                <w:iCs/>
                <w:sz w:val="20"/>
              </w:rPr>
              <w:t xml:space="preserve">Y</w:t>
            </w:r>
            <w:r>
              <w:rPr>
                <w:sz w:val="20"/>
              </w:rPr>
              <w:t xml:space="preserve"> </w:t>
            </w:r>
            <w:r>
              <w:rPr>
                <w:sz w:val="20"/>
              </w:rPr>
              <w:t xml:space="preserve">= o bem cultural acontece; público e gratuidade</w:t>
            </w:r>
          </w:p>
        </w:tc>
        <w:tc>
          <w:tcPr/>
          <w:p>
            <w:pPr>
              <w:pStyle w:val="Compact"/>
              <w:spacing w:after="0" w:before="0"/>
              <w:jc w:val="left"/>
            </w:pPr>
            <w:r>
              <w:rPr>
                <w:sz w:val="20"/>
              </w:rPr>
              <w:t xml:space="preserve">Efeito médio sobre os tratados (EMPT) e seu contraste com o efeito sobre os não tratados (EMPNT)</w:t>
            </w:r>
          </w:p>
        </w:tc>
        <w:tc>
          <w:tcPr/>
          <w:p>
            <w:pPr>
              <w:pStyle w:val="Compact"/>
              <w:spacing w:after="0" w:before="0"/>
              <w:jc w:val="left"/>
            </w:pPr>
            <w:r>
              <w:rPr>
                <w:sz w:val="20"/>
              </w:rPr>
              <w:t xml:space="preserve">Se a empresa escolhe eventos consolidados,</w:t>
            </w:r>
            <w:r>
              <w:rPr>
                <w:sz w:val="20"/>
              </w:rPr>
              <w:t xml:space="preserve"> </w:t>
            </w:r>
            <w:r>
              <w:rPr>
                <w:i/>
                <w:iCs/>
                <w:sz w:val="20"/>
              </w:rPr>
              <w:t xml:space="preserve">Y</w:t>
            </w:r>
            <w:r>
              <w:rPr>
                <w:sz w:val="20"/>
              </w:rPr>
              <w:t xml:space="preserve">(0) é maior entre os escolhidos e o efeito é menor onde ela escolhe: os dois vieses subestimam a adicionalidade</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Qual é o efeito de reduzir o custo de entrada sobre a inscrição, a habilitação e o perfil de quem entra?</w:t>
            </w:r>
          </w:p>
        </w:tc>
        <w:tc>
          <w:tcPr/>
          <w:p>
            <w:pPr>
              <w:pStyle w:val="Compact"/>
              <w:spacing w:after="0" w:before="0"/>
              <w:jc w:val="left"/>
            </w:pPr>
            <w:r>
              <w:rPr>
                <w:sz w:val="20"/>
              </w:rPr>
              <w:t xml:space="preserve">Agente cultural sem inscrição prévia;</w:t>
            </w:r>
            <w:r>
              <w:rPr>
                <w:sz w:val="20"/>
              </w:rPr>
              <w:t xml:space="preserve"> </w:t>
            </w:r>
            <w:r>
              <w:rPr>
                <w:i/>
                <w:iCs/>
                <w:sz w:val="20"/>
              </w:rPr>
              <w:t xml:space="preserve">T</w:t>
            </w:r>
            <w:r>
              <w:rPr>
                <w:sz w:val="20"/>
              </w:rPr>
              <w:t xml:space="preserve"> </w:t>
            </w:r>
            <w:r>
              <w:rPr>
                <w:sz w:val="20"/>
              </w:rPr>
              <w:t xml:space="preserve">= oferta de apoio à inscrição;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H2a</w:t>
            </w:r>
          </w:p>
        </w:tc>
        <w:tc>
          <w:tcPr/>
          <w:p>
            <w:pPr>
              <w:pStyle w:val="Compact"/>
              <w:spacing w:after="0" w:before="0"/>
              <w:jc w:val="left"/>
            </w:pPr>
            <w:r>
              <w:rPr>
                <w:sz w:val="20"/>
              </w:rPr>
              <w:t xml:space="preserve">A habilitação muda o destino do projeto, e a empresa segue o mérito avaliado pela SECULT?</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habilitado;</w:t>
            </w:r>
            <w:r>
              <w:rPr>
                <w:sz w:val="20"/>
              </w:rPr>
              <w:t xml:space="preserve"> </w:t>
            </w:r>
            <w:r>
              <w:rPr>
                <w:i/>
                <w:iCs/>
                <w:sz w:val="20"/>
              </w:rPr>
              <w:t xml:space="preserve">Y</w:t>
            </w:r>
            <w:r>
              <w:rPr>
                <w:sz w:val="20"/>
              </w:rPr>
              <w:t xml:space="preserve"> </w:t>
            </w:r>
            <w:r>
              <w:rPr>
                <w:sz w:val="20"/>
              </w:rPr>
              <w:t xml:space="preserve">= o projeto é executado</w:t>
            </w:r>
          </w:p>
        </w:tc>
        <w:tc>
          <w:tcPr/>
          <w:p>
            <w:pPr>
              <w:pStyle w:val="Compact"/>
              <w:spacing w:after="0" w:before="0"/>
              <w:jc w:val="left"/>
            </w:pPr>
            <w:r>
              <w:rPr>
                <w:sz w:val="20"/>
              </w:rPr>
              <w:t xml:space="preserve">Efeito de ser habilitado (oferta) na margem da decisão</w:t>
            </w:r>
          </w:p>
        </w:tc>
        <w:tc>
          <w:tcPr/>
          <w:p>
            <w:pPr>
              <w:pStyle w:val="Compact"/>
              <w:spacing w:after="0" w:before="0"/>
              <w:jc w:val="left"/>
            </w:pPr>
            <w:r>
              <w:rPr>
                <w:sz w:val="20"/>
              </w:rPr>
              <w:t xml:space="preserve">Inabilitados diferem dos habilitados em qualidade e capacidade</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e no material da disciplina sobre resultados potenciais.</w:t>
      </w:r>
    </w:p>
    <w:p>
      <w:pPr>
        <w:pStyle w:val="BodyText"/>
      </w:pPr>
      <w:r>
        <w:t xml:space="preserve">O EMPT é o parâmetro indicado porque a participação é voluntária, do proponente e da empresa.</w:t>
      </w:r>
    </w:p>
    <w:bookmarkEnd w:id="21"/>
    <w:bookmarkStart w:id="22"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sorteio, promoção aleatória, diferenças em diferenças e diferenças em diferenças com pareamento. A escolha depende dos dados que a SECULT liberar (seção 5.3).</w:t>
      </w:r>
    </w:p>
    <w:p>
      <w:pPr>
        <w:pStyle w:val="Compact"/>
        <w:numPr>
          <w:ilvl w:val="0"/>
          <w:numId w:val="1001"/>
        </w:numPr>
      </w:pPr>
      <w:r>
        <w:rPr>
          <w:b/>
          <w:bCs/>
        </w:rPr>
        <w:t xml:space="preserve">H1b.</w:t>
      </w:r>
      <w:r>
        <w:t xml:space="preserve"> </w:t>
      </w:r>
      <w:r>
        <w:t xml:space="preserve">Em 2023 e 2024, os termos validados pouco antes do esgotamento do teto e os indeferidos logo depois tinham, todos, patrocinador disposto. Se a ordem de chegada não depender das características do projeto, o que se testa pelo balanço dos observáveis, a comparação é quase experimental. Os 95 habilitados que expiraram sem captar, comparados aos que captaram com diferenças em diferenças e pareamento dentro do ciclo (o desenho de Colombo e Cruz, 2023), delimitam o efeito sem afastar a seleção. O SALIC mostra se as mesmas empresas deixaram de patrocinar pela Rouanet ao entrar na LICC (substituição).</w:t>
      </w:r>
    </w:p>
    <w:p>
      <w:pPr>
        <w:pStyle w:val="Compact"/>
        <w:numPr>
          <w:ilvl w:val="0"/>
          <w:numId w:val="1001"/>
        </w:numPr>
      </w:pPr>
      <w:r>
        <w:rPr>
          <w:b/>
          <w:bCs/>
        </w:rPr>
        <w:t xml:space="preserve">H3.</w:t>
      </w:r>
      <w:r>
        <w:t xml:space="preserve"> </w:t>
      </w:r>
      <w:r>
        <w:t xml:space="preserve">Uma promoção aleatória de apoio à inscrição (informação, orientação sobre CNPJ e documentação) sorteada entre municípios do interior não altera nenhuma regra de alocação. Ela estima o efeito da oferta e, para quem responde a ela, o efeito local (ANGRIST; IMBENS; RUBIN, 1996). Como o teto é fixo, novos entrantes deslocam outros, e sortear também a intensidade da oferta entre municípios mede esse deslocamento (BAIRD</w:t>
      </w:r>
      <w:r>
        <w:t xml:space="preserve"> </w:t>
      </w:r>
      <w:r>
        <w:rPr>
          <w:i/>
          <w:iCs/>
        </w:rPr>
        <w:t xml:space="preserve">et al.</w:t>
      </w:r>
      <w:r>
        <w:t xml:space="preserve">, 2018).</w:t>
      </w:r>
    </w:p>
    <w:p>
      <w:pPr>
        <w:pStyle w:val="Compact"/>
        <w:numPr>
          <w:ilvl w:val="0"/>
          <w:numId w:val="1001"/>
        </w:numPr>
      </w:pPr>
      <w:r>
        <w:rPr>
          <w:b/>
          <w:bCs/>
        </w:rPr>
        <w:t xml:space="preserve">H2a.</w:t>
      </w:r>
      <w:r>
        <w:t xml:space="preserve"> </w:t>
      </w:r>
      <w:r>
        <w:t xml:space="preserve">Como o parecer não atribui nota, não há ponto de corte para regressão descontínua. A pergunta fica descritiva: se a captação se associa ao que o parecer registrou (critérios atendidos, diligências), com os pareceres obtidos por LAI.</w:t>
      </w:r>
    </w:p>
    <w:bookmarkEnd w:id="22"/>
    <w:bookmarkStart w:id="23" w:name="desenho-da-amostra-e-fontes-de-dados"/>
    <w:p>
      <w:pPr>
        <w:pStyle w:val="Heading2"/>
      </w:pPr>
      <w:r>
        <w:t xml:space="preserve">5.3 Desenho da amostra e fontes de dados</w:t>
      </w:r>
    </w:p>
    <w:p>
      <w:pPr>
        <w:pStyle w:val="FirstParagraph"/>
      </w:pPr>
      <w:r>
        <w:t xml:space="preserve">Para H1b e H2a trabalha-se com o universo, e a listagem vem dos anexos oficiais. São 293 projetos habilitados em 2022-2024 com situação resolvida, de 172 proponentes, e os termos de 2023 e 2024 na margem do racionamento. Para H3, a listagem é o cadastro de agentes do Mapa Cultural, restrito aos que têm CNPJ e nunca se inscreveram. A amostra é por conglomerados: os municípios do interior são sorteados para receber a oferta, e dentro deles entram todos os agentes elegíveis. A listagem deixa de fora quem não está cadastrado, o que limita a validade externa (viés de cobertura). O gargalo comum é a chave: os anexos não trazem o CNPJ do proponente, mas a SECULT o tem, porque a inscrição o exige. O Quadro 4 lista as fontes.</w:t>
      </w:r>
    </w:p>
    <w:p>
      <w:pPr>
        <w:pStyle w:val="BodyText"/>
        <w:keepNext/>
      </w:pPr>
      <w:r>
        <w:rPr>
          <w:b/>
          <w:bCs/>
        </w:rPr>
        <w:t xml:space="preserve">Quadro 4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spacing w:after="0" w:before="0"/>
              <w:jc w:val="left"/>
            </w:pPr>
            <w:r>
              <w:rPr>
                <w:b/>
                <w:sz w:val="20"/>
              </w:rPr>
              <w:t xml:space="preserve">Fonte</w:t>
            </w:r>
          </w:p>
        </w:tc>
        <w:tc>
          <w:tcPr/>
          <w:p>
            <w:pPr>
              <w:pStyle w:val="Compact"/>
              <w:spacing w:after="0" w:before="0"/>
              <w:jc w:val="left"/>
            </w:pPr>
            <w:r>
              <w:rPr>
                <w:b/>
                <w:sz w:val="20"/>
              </w:rPr>
              <w:t xml:space="preserve">Conteúdo</w:t>
            </w:r>
          </w:p>
        </w:tc>
        <w:tc>
          <w:tcPr/>
          <w:p>
            <w:pPr>
              <w:pStyle w:val="Compact"/>
              <w:spacing w:after="0" w:before="0"/>
              <w:jc w:val="left"/>
            </w:pPr>
            <w:r>
              <w:rPr>
                <w:b/>
                <w:sz w:val="20"/>
              </w:rPr>
              <w:t xml:space="preserve">Uso</w:t>
            </w:r>
          </w:p>
        </w:tc>
        <w:tc>
          <w:tcPr/>
          <w:p>
            <w:pPr>
              <w:pStyle w:val="Compact"/>
              <w:spacing w:after="0" w:before="0"/>
              <w:jc w:val="left"/>
            </w:pPr>
            <w:r>
              <w:rPr>
                <w:b/>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motivo, parecer, CNPJ, sede e datas</w:t>
            </w:r>
          </w:p>
        </w:tc>
        <w:tc>
          <w:tcPr/>
          <w:p>
            <w:pPr>
              <w:pStyle w:val="Compact"/>
              <w:spacing w:after="0" w:before="0"/>
              <w:jc w:val="left"/>
            </w:pPr>
            <w:r>
              <w:rPr>
                <w:sz w:val="20"/>
              </w:rPr>
              <w:t xml:space="preserve">H2a, H3;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w:t>
            </w:r>
          </w:p>
        </w:tc>
        <w:tc>
          <w:tcPr/>
          <w:p>
            <w:pPr>
              <w:pStyle w:val="Compact"/>
              <w:spacing w:after="0" w:before="0"/>
              <w:jc w:val="left"/>
            </w:pPr>
            <w:r>
              <w:rPr>
                <w:sz w:val="20"/>
              </w:rPr>
              <w:t xml:space="preserve">Status, valores, patrocinador e data de cada repasse</w:t>
            </w:r>
          </w:p>
        </w:tc>
        <w:tc>
          <w:tcPr/>
          <w:p>
            <w:pPr>
              <w:pStyle w:val="Compact"/>
              <w:spacing w:after="0" w:before="0"/>
              <w:jc w:val="left"/>
            </w:pPr>
            <w:r>
              <w:rPr>
                <w:sz w:val="20"/>
              </w:rPr>
              <w:t xml:space="preserve">H1b; tratamento e intensidade</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e ordem de validação dos termos, inclusive indeferidos</w:t>
            </w:r>
          </w:p>
        </w:tc>
        <w:tc>
          <w:tcPr/>
          <w:p>
            <w:pPr>
              <w:pStyle w:val="Compact"/>
              <w:spacing w:after="0" w:before="0"/>
              <w:jc w:val="left"/>
            </w:pPr>
            <w:r>
              <w:rPr>
                <w:sz w:val="20"/>
              </w:rPr>
              <w:t xml:space="preserve">H1b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Público,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H3; ocorrência de eventos (</w:t>
            </w: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SALIC (Ministério da Cultura)</w:t>
            </w:r>
          </w:p>
        </w:tc>
        <w:tc>
          <w:tcPr/>
          <w:p>
            <w:pPr>
              <w:pStyle w:val="Compact"/>
              <w:spacing w:after="0" w:before="0"/>
              <w:jc w:val="left"/>
            </w:pPr>
            <w:r>
              <w:rPr>
                <w:sz w:val="20"/>
              </w:rPr>
              <w:t xml:space="preserve">Projetos e doações pela Rouanet, por CNPJ</w:t>
            </w:r>
          </w:p>
        </w:tc>
        <w:tc>
          <w:tcPr/>
          <w:p>
            <w:pPr>
              <w:pStyle w:val="Compact"/>
              <w:spacing w:after="0" w:before="0"/>
              <w:jc w:val="left"/>
            </w:pPr>
            <w:r>
              <w:rPr>
                <w:sz w:val="20"/>
              </w:rPr>
              <w:t xml:space="preserve">Substituição de fonte (H1b)</w:t>
            </w:r>
          </w:p>
        </w:tc>
        <w:tc>
          <w:tcPr/>
          <w:p>
            <w:pPr>
              <w:pStyle w:val="Compact"/>
              <w:spacing w:after="0" w:before="0"/>
              <w:jc w:val="left"/>
            </w:pPr>
            <w:r>
              <w:rPr>
                <w:sz w:val="20"/>
              </w:rPr>
              <w:t xml:space="preserve">Público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o material da disciplina (DJIMEU;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quando as unidades vêm em grupos (projetos de um mesmo proponente, agentes de um mesmo município),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 Com conglomerados sorteados, usa-se a forma equivalente por número de conglomerados. A Tabela 2 reporta os cenários.</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 com os dados pedidos.</w:t>
      </w:r>
    </w:p>
    <w:p>
      <w:pPr>
        <w:pStyle w:val="BodyText"/>
        <w:keepNext/>
      </w:pPr>
      <w:r>
        <w:rPr>
          <w:b/>
          <w:bCs/>
        </w:rPr>
        <w:t xml:space="preserve">Tabela 2 – Efeito mínimo detectável por pergunta (pontos percentuais)</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3615"/>
        <w:gridCol w:w="1807"/>
        <w:gridCol w:w="1721"/>
        <w:gridCol w:w="774"/>
      </w:tblGrid>
      <w:tr>
        <w:trPr>
          <w:tblHeader w:val="on"/>
          <w:tblHeader w:val="true"/>
        </w:trPr>
        <w:tc>
          <w:tcPr/>
          <w:p>
            <w:pPr>
              <w:pStyle w:val="Compact"/>
              <w:keepNext/>
              <w:spacing w:after="0" w:before="0"/>
              <w:jc w:val="left"/>
            </w:pPr>
            <w:r>
              <w:rPr>
                <w:b/>
                <w:sz w:val="20"/>
              </w:rPr>
              <w:t xml:space="preserve">Pergunta e comparação</w:t>
            </w:r>
          </w:p>
        </w:tc>
        <w:tc>
          <w:tcPr/>
          <w:p>
            <w:pPr>
              <w:pStyle w:val="Compact"/>
              <w:keepNext/>
              <w:spacing w:after="0" w:before="0"/>
              <w:jc w:val="left"/>
            </w:pPr>
            <w:r>
              <w:rPr>
                <w:b/>
                <w:sz w:val="20"/>
              </w:rPr>
              <w:t xml:space="preserve">Unidades</w:t>
            </w:r>
          </w:p>
        </w:tc>
        <w:tc>
          <w:tcPr/>
          <w:p>
            <w:pPr>
              <w:pStyle w:val="Compact"/>
              <w:keepNext/>
              <w:spacing w:after="0" w:before="0"/>
              <w:jc w:val="left"/>
            </w:pPr>
            <w:r>
              <w:rPr>
                <w:b/>
                <w:sz w:val="20"/>
              </w:rPr>
              <w:t xml:space="preserve">Cenários</w:t>
            </w:r>
          </w:p>
        </w:tc>
        <w:tc>
          <w:tcPr/>
          <w:p>
            <w:pPr>
              <w:pStyle w:val="Compact"/>
              <w:keepNext/>
              <w:spacing w:after="0" w:before="0"/>
              <w:jc w:val="left"/>
            </w:pPr>
            <w:r>
              <w:rPr>
                <w:b/>
                <w:sz w:val="20"/>
              </w:rPr>
              <w:t xml:space="preserve">EMD</w:t>
            </w:r>
          </w:p>
        </w:tc>
      </w:tr>
      <w:tr>
        <w:tc>
          <w:tcPr/>
          <w:p>
            <w:pPr>
              <w:pStyle w:val="Compact"/>
              <w:keepNext/>
              <w:spacing w:after="0" w:before="0"/>
              <w:jc w:val="left"/>
            </w:pPr>
            <w:r>
              <w:rPr>
                <w:sz w:val="20"/>
              </w:rPr>
              <w:t xml:space="preserve">H1b: captou × expirou, 2022-2024</w:t>
            </w:r>
          </w:p>
        </w:tc>
        <w:tc>
          <w:tcPr/>
          <w:p>
            <w:pPr>
              <w:pStyle w:val="Compact"/>
              <w:keepNext/>
              <w:spacing w:after="0" w:before="0"/>
              <w:jc w:val="left"/>
            </w:pPr>
            <w:r>
              <w:rPr>
                <w:sz w:val="20"/>
              </w:rPr>
              <w:t xml:space="preserve">293 projetos (</w:t>
            </w:r>
            <w:r>
              <w:rPr>
                <w:i/>
                <w:iCs/>
                <w:sz w:val="20"/>
              </w:rPr>
              <w:t xml:space="preserve">T</w:t>
            </w:r>
            <w:r>
              <w:rPr>
                <w:sz w:val="20"/>
              </w:rPr>
              <w:t xml:space="preserve"> </w:t>
            </w:r>
            <w:r>
              <w:rPr>
                <w:sz w:val="20"/>
              </w:rPr>
              <w:t xml:space="preserve">= 0,68), 172 proponentes (</w:t>
            </w:r>
            <m:oMath>
              <m:acc>
                <m:accPr>
                  <m:chr m:val="‾"/>
                </m:accPr>
                <m:e>
                  <m:r>
                    <m:t>m</m:t>
                  </m:r>
                </m:e>
              </m:acc>
            </m:oMath>
            <w:r>
              <w:rPr>
                <w:sz w:val="20"/>
              </w:rPr>
              <w:t xml:space="preserve"> </w:t>
            </w:r>
            <w:r>
              <w:rPr>
                <w:sz w:val="20"/>
              </w:rPr>
              <w:t xml:space="preserve">= 1,70;</w:t>
            </w:r>
            <w:r>
              <w:rPr>
                <w:sz w:val="20"/>
              </w:rPr>
              <w:t xml:space="preserve"> </w:t>
            </w:r>
            <w:r>
              <w:rPr>
                <w:i/>
                <w:iCs/>
                <w:sz w:val="20"/>
              </w:rPr>
              <w:t xml:space="preserve">cv</w:t>
            </w:r>
            <w:r>
              <w:rPr>
                <w:sz w:val="20"/>
              </w:rPr>
              <w:t xml:space="preserve"> </w:t>
            </w:r>
            <w:r>
              <w:rPr>
                <w:sz w:val="20"/>
              </w:rPr>
              <w:t xml:space="preserve">= 0,75)</w:t>
            </w:r>
          </w:p>
        </w:tc>
        <w:tc>
          <w:tcPr/>
          <w:p>
            <w:pPr>
              <w:pStyle w:val="Compact"/>
              <w:keepNext/>
              <w:spacing w:after="0" w:before="0"/>
              <w:jc w:val="left"/>
            </w:pPr>
            <m:oMath>
              <m:sSub>
                <m:e>
                  <m:r>
                    <m:t>p</m:t>
                  </m:r>
                </m:e>
                <m:sub>
                  <m:r>
                    <m:t>0</m:t>
                  </m:r>
                </m:sub>
              </m:sSub>
            </m:oMath>
            <w:r>
              <w:rPr>
                <w:sz w:val="20"/>
              </w:rPr>
              <w:t xml:space="preserve"> </w:t>
            </w:r>
            <w:r>
              <w:rPr>
                <w:sz w:val="20"/>
              </w:rPr>
              <w:t xml:space="preserve">de 0,2 a 0,6; ρ = 0 ou 0,2</w:t>
            </w:r>
          </w:p>
        </w:tc>
        <w:tc>
          <w:tcPr/>
          <w:p>
            <w:pPr>
              <w:pStyle w:val="Compact"/>
              <w:keepNext/>
              <w:spacing w:after="0" w:before="0"/>
              <w:jc w:val="left"/>
            </w:pPr>
            <w:r>
              <w:rPr>
                <w:sz w:val="20"/>
              </w:rPr>
              <w:t xml:space="preserve">14 a 20</w:t>
            </w:r>
          </w:p>
        </w:tc>
      </w:tr>
      <w:tr>
        <w:tc>
          <w:tcPr/>
          <w:p>
            <w:pPr>
              <w:pStyle w:val="Compact"/>
              <w:keepNext/>
              <w:spacing w:after="0" w:before="0"/>
              <w:jc w:val="left"/>
            </w:pPr>
            <w:r>
              <w:rPr>
                <w:sz w:val="20"/>
              </w:rPr>
              <w:t xml:space="preserve">H1b: margem do racionamento, 2023-2024</w:t>
            </w:r>
          </w:p>
        </w:tc>
        <w:tc>
          <w:tcPr/>
          <w:p>
            <w:pPr>
              <w:pStyle w:val="Compact"/>
              <w:keepNext/>
              <w:spacing w:after="0" w:before="0"/>
              <w:jc w:val="left"/>
            </w:pPr>
            <w:r>
              <w:rPr>
                <w:sz w:val="20"/>
              </w:rPr>
              <w:t xml:space="preserve">20 a 30 projetos por grupo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29 a 43</w:t>
            </w:r>
          </w:p>
        </w:tc>
      </w:tr>
      <w:tr>
        <w:tc>
          <w:tcPr/>
          <w:p>
            <w:pPr>
              <w:pStyle w:val="Compact"/>
              <w:keepNext/>
              <w:spacing w:after="0" w:before="0"/>
              <w:jc w:val="left"/>
            </w:pPr>
            <w:r>
              <w:rPr>
                <w:sz w:val="20"/>
              </w:rPr>
              <w:t xml:space="preserve">H3: oferta sorteada por agente</w:t>
            </w:r>
          </w:p>
        </w:tc>
        <w:tc>
          <w:tcPr/>
          <w:p>
            <w:pPr>
              <w:pStyle w:val="Compact"/>
              <w:keepNext/>
              <w:spacing w:after="0" w:before="0"/>
              <w:jc w:val="left"/>
            </w:pPr>
            <w:r>
              <w:rPr>
                <w:sz w:val="20"/>
              </w:rPr>
              <w:t xml:space="preserve">1.000 a 4.000 agentes</w:t>
            </w:r>
          </w:p>
        </w:tc>
        <w:tc>
          <w:tcPr/>
          <w:p>
            <w:pPr>
              <w:pStyle w:val="Compact"/>
              <w:keepNext/>
              <w:spacing w:after="0" w:before="0"/>
              <w:jc w:val="left"/>
            </w:pPr>
            <m:oMath>
              <m:sSub>
                <m:e>
                  <m:r>
                    <m:t>p</m:t>
                  </m:r>
                </m:e>
                <m:sub>
                  <m:r>
                    <m:t>0</m:t>
                  </m:r>
                </m:sub>
              </m:sSub>
            </m:oMath>
            <w:r>
              <w:rPr>
                <w:sz w:val="20"/>
              </w:rPr>
              <w:t xml:space="preserve"> </w:t>
            </w:r>
            <w:r>
              <w:rPr>
                <w:sz w:val="20"/>
              </w:rPr>
              <w:t xml:space="preserve">de 2% a 10%</w:t>
            </w:r>
          </w:p>
        </w:tc>
        <w:tc>
          <w:tcPr/>
          <w:p>
            <w:pPr>
              <w:pStyle w:val="Compact"/>
              <w:keepNext/>
              <w:spacing w:after="0" w:before="0"/>
              <w:jc w:val="left"/>
            </w:pPr>
            <w:r>
              <w:rPr>
                <w:sz w:val="20"/>
              </w:rPr>
              <w:t xml:space="preserve">1,2 a 5,3</w:t>
            </w:r>
          </w:p>
        </w:tc>
      </w:tr>
      <w:tr>
        <w:tc>
          <w:tcPr/>
          <w:p>
            <w:pPr>
              <w:pStyle w:val="Compact"/>
              <w:spacing w:after="0" w:before="0"/>
              <w:jc w:val="left"/>
            </w:pPr>
            <w:r>
              <w:rPr>
                <w:sz w:val="20"/>
              </w:rPr>
              <w:t xml:space="preserve">H3: oferta sorteada por município</w:t>
            </w:r>
          </w:p>
        </w:tc>
        <w:tc>
          <w:tcPr/>
          <w:p>
            <w:pPr>
              <w:pStyle w:val="Compact"/>
              <w:spacing w:after="0" w:before="0"/>
              <w:jc w:val="left"/>
            </w:pPr>
            <w:r>
              <w:rPr>
                <w:sz w:val="20"/>
              </w:rPr>
              <w:t xml:space="preserve">71 municípios do interior, 20 a 50 agentes cada</w:t>
            </w:r>
          </w:p>
        </w:tc>
        <w:tc>
          <w:tcPr/>
          <w:p>
            <w:pPr>
              <w:pStyle w:val="Compact"/>
              <w:spacing w:after="0" w:before="0"/>
              <w:jc w:val="left"/>
            </w:pPr>
            <m:oMath>
              <m:sSub>
                <m:e>
                  <m:r>
                    <m:t>p</m:t>
                  </m:r>
                </m:e>
                <m:sub>
                  <m:r>
                    <m:t>0</m:t>
                  </m:r>
                </m:sub>
              </m:sSub>
            </m:oMath>
            <w:r>
              <w:rPr>
                <w:sz w:val="20"/>
              </w:rPr>
              <w:t xml:space="preserve"> </w:t>
            </w:r>
            <w:r>
              <w:rPr>
                <w:sz w:val="20"/>
              </w:rPr>
              <w:t xml:space="preserve">de 5% a 10%; ρ de 0,02 a 0,05</w:t>
            </w:r>
          </w:p>
        </w:tc>
        <w:tc>
          <w:tcPr/>
          <w:p>
            <w:pPr>
              <w:pStyle w:val="Compact"/>
              <w:spacing w:after="0" w:before="0"/>
              <w:jc w:val="left"/>
            </w:pPr>
            <w:r>
              <w:rPr>
                <w:sz w:val="20"/>
              </w:rPr>
              <w:t xml:space="preserve">2,9 a 6,3</w:t>
            </w:r>
          </w:p>
        </w:tc>
      </w:tr>
    </w:tbl>
    <w:p>
      <w:pPr>
        <w:pStyle w:val="BodyText"/>
      </w:pPr>
      <w:r>
        <w:rPr>
          <w:sz w:val="20"/>
        </w:rPr>
        <w:t xml:space="preserve">Fonte: elaboração própria;</w:t>
      </w:r>
      <w:r>
        <w:rPr>
          <w:sz w:val="20"/>
        </w:rPr>
        <w:t xml:space="preserve"> </w:t>
      </w:r>
      <w:r>
        <w:rPr>
          <w:rStyle w:val="VerbatimChar"/>
          <w:sz w:val="20"/>
        </w:rPr>
        <w:t xml:space="preserve">analise/tabelas/07_poder_hipoteses.csv</w:t>
      </w:r>
      <w:r>
        <w:rPr>
          <w:sz w:val="20"/>
        </w:rPr>
        <w:t xml:space="preserve"> </w:t>
      </w:r>
      <w:r>
        <w:rPr>
          <w:sz w:val="20"/>
        </w:rPr>
        <w:t xml:space="preserve">(script</w:t>
      </w:r>
      <w:r>
        <w:rPr>
          <w:sz w:val="20"/>
        </w:rPr>
        <w:t xml:space="preserve"> </w:t>
      </w:r>
      <w:r>
        <w:rPr>
          <w:rStyle w:val="VerbatimChar"/>
          <w:sz w:val="20"/>
        </w:rPr>
        <w:t xml:space="preserve">analise/07_hipoteses_h1_h3.py</w:t>
      </w:r>
      <w:r>
        <w:rPr>
          <w:sz w:val="20"/>
        </w:rPr>
        <w:t xml:space="preserve">, com as funções de</w:t>
      </w:r>
      <w:r>
        <w:rPr>
          <w:sz w:val="20"/>
        </w:rPr>
        <w:t xml:space="preserve"> </w:t>
      </w:r>
      <w:r>
        <w:rPr>
          <w:rStyle w:val="VerbatimChar"/>
          <w:sz w:val="20"/>
        </w:rPr>
        <w:t xml:space="preserve">analise/05_poder_mde.py</w:t>
      </w:r>
      <w:r>
        <w:rPr>
          <w:sz w:val="20"/>
        </w:rPr>
        <w:t xml:space="preserve">).</w:t>
      </w:r>
    </w:p>
    <w:p>
      <w:pPr>
        <w:pStyle w:val="BodyText"/>
      </w:pPr>
      <w:r>
        <w:t xml:space="preserve">A comparação na margem do racionamento só detecta efeitos muito grandes e serve como verificação de robustez. A comparação entre quem captou e quem expirou tem poder razoável, mas seu problema é o viés, não a amostra. O desenho de H3 detecta efeitos de poucos pontos. Com poder baixo, uma estimativa</w:t>
      </w:r>
      <w:r>
        <w:t xml:space="preserve"> </w:t>
      </w:r>
      <w:r>
        <w:t xml:space="preserve">“significativa”</w:t>
      </w:r>
      <w:r>
        <w:t xml:space="preserve"> </w:t>
      </w:r>
      <w:r>
        <w:t xml:space="preserve">tende a exagerar o efeito verdadeiro (GELMAN; CARLIN, 2014), o que recomenda pré-registrar o plano de análise.</w:t>
      </w:r>
    </w:p>
    <w:bookmarkEnd w:id="24"/>
    <w:bookmarkStart w:id="2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(quem não capta pode executar com outra fonte; o SALIC entra como resultado), a seleção por fatores que mudam no tempo, os eventos externos do período (Lei Paulo Gustavo e Política Nacional Aldir Blanc) e o atrito dos dados: projeto sem registro não é projeto que não aconteceu. A validade externa é limitada. As comparações de H1b valem para o regime de 2022-2024, em que a habilitação precedia a busca por patrocinador. Desde 2025 essa ordem se inverteu e os expirados quase desapareceram (3 em 56 resolvidos no ciclo 2025). No plano ético, nenhum desenho nega ou adia o acesso de elegíveis, e a oferta de apoio só acrescenta informação. O uso de dados identificados exige anonimização, conforme a LGPD, e uma pesquisa com o público exigiria aprovação de comitê de ética.</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em que o Estado define quem pode receber e as empresas decidem quem recebe. Duas premissas de critério não são atendidas pelo desenho: a habilitação qualifica sem priorizar, e o racionamento no teto segue a ordem de chegada. A escolha pelas empresas é contestada: o financiamento vem de poucas empresas de serviços regulados, mas sem viés territorial forte. A entrada e a entrega, os extremos da cadeia, são indeterminadas, porque a SECULT não publica os inscritos nem o público alcançado.</w:t>
      </w:r>
    </w:p>
    <w:p>
      <w:pPr>
        <w:pStyle w:val="BodyText"/>
      </w:pPr>
      <w:r>
        <w:t xml:space="preserve">Sem mexer no mecanismo, há recomendações que dependem só da gestão: declarar objetivos, metas e indicadores; publicar os inscritos e os motivos de inabilitação; publicar, por projeto, o CNPJ do proponente, a sede, a captação por cota e as datas; e publicar as contrapartidas executadas e o público alcançado.</w:t>
      </w:r>
    </w:p>
    <w:p>
      <w:pPr>
        <w:pStyle w:val="BodyText"/>
      </w:pPr>
      <w:r>
        <w:t xml:space="preserve">A proposta de avaliação transforma as premissas em três perguntas: a adicionalidade do financiamento (H1b), pelo racionamento no teto e pelos habilitados que não captaram; o efeito do atrito na entrada (H3), por uma oferta sorteada de apoio à inscrição, com bom poder; e o papel da avaliação da SECULT (H2a), descritivo porque o parecer não dá nota. As limitações são as dos dados. A situação publicada serve de aproximação para a captação, a estreia é medida por nome de proponente, e o retrato territorial cobre 74% do valor.</w:t>
      </w:r>
    </w:p>
    <w:bookmarkEnd w:id="27"/>
    <w:bookmarkStart w:id="28" w:name="referências"/>
    <w:p>
      <w:pPr>
        <w:pStyle w:val="Heading1"/>
      </w:pPr>
      <w:r>
        <w:t xml:space="preserve">Referências</w:t>
      </w:r>
    </w:p>
    <w:p>
      <w:pPr>
        <w:pStyle w:val="FirstParagraph"/>
      </w:pPr>
      <w:r>
        <w:t xml:space="preserve">ALCÂNTARA, Jessica Nunes de; BENEDICTO, Gideon Carvalho de; SILVA, Sabrina Soares da. Possible key factors for Brazilian publicly traded companies to adopt a sponsorship strategy.</w:t>
      </w:r>
      <w:r>
        <w:t xml:space="preserve"> </w:t>
      </w:r>
      <w:r>
        <w:rPr>
          <w:b/>
          <w:bCs/>
        </w:rPr>
        <w:t xml:space="preserve">Journal of Strategy and Management</w:t>
      </w:r>
      <w:r>
        <w:t xml:space="preserve">, v. 12, n. 4, p. 429-446, 2019. DOI: 10.1108/JSMA-04-2018-0029.</w:t>
      </w:r>
    </w:p>
    <w:p>
      <w:pPr>
        <w:pStyle w:val="BodyText"/>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2026a. Disponível em: https://apidatalake.tesouro.gov.br/ords/siconfi/tt/dca. Acesso em: 23 set. 2026.</w:t>
      </w:r>
    </w:p>
    <w:p>
      <w:pPr>
        <w:pStyle w:val="BodyText"/>
      </w:pPr>
      <w:r>
        <w:t xml:space="preserve">BRASIL. Ministério da Cultura.</w:t>
      </w:r>
      <w:r>
        <w:t xml:space="preserve"> </w:t>
      </w:r>
      <w:r>
        <w:rPr>
          <w:b/>
          <w:bCs/>
        </w:rPr>
        <w:t xml:space="preserve">SALIC</w:t>
      </w:r>
      <w:r>
        <w:t xml:space="preserve">: API de dados abertos (projetos e incentivadores da Lei Rouanet). Brasília: MinC, 2026b. Disponível em: https://api.salic.cultura.gov.br/api/v1. Acesso em: 24 set. 2026.</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COLOMBO, Daniel Gama e; CRUZ, Hélio Nogueira da. Impact assessment of innovation tax incentives in Brazil.</w:t>
      </w:r>
      <w:r>
        <w:t xml:space="preserve"> </w:t>
      </w:r>
      <w:r>
        <w:rPr>
          <w:b/>
          <w:bCs/>
        </w:rPr>
        <w:t xml:space="preserve">Innovation &amp; Management Review</w:t>
      </w:r>
      <w:r>
        <w:t xml:space="preserve">, v. 20, n. 1, p. 28-42, 2023. DOI: 10.1108/INMR-11-2020-0167.</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 [VERIFICAR: página lida só pelo resumo do buscador.]</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2026e.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2026f. Disponível em: https://secult.es.gov.br/LICC. Acesso em: 24 set. 2026.</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bookmarkEnd w:id="28"/>
    <w:bookmarkStart w:id="29" w:name="X6e5363a2ea64c40705be1be4ad3b57716cacb0d"/>
    <w:p>
      <w:pPr>
        <w:pStyle w:val="Heading1"/>
      </w:pPr>
      <w:r>
        <w:t xml:space="preserve">Declaração de uso de inteligência artificial</w:t>
      </w:r>
    </w:p>
    <w:p>
      <w:pPr>
        <w:pStyle w:val="FirstParagraph"/>
      </w:pPr>
      <w:r>
        <w:t xml:space="preserve">[Adequar ao modelo anexo às instruções da disciplina.] Os autores utilizaram ferramenta de inteligência artificial generativa (Claude, da Anthropic) como apoio na organização dos dados, na programação dos scripts de análise e das figuras, na busca e conferência de referências e na redação de versões preliminares do texto, conforme a Portaria CNPq nº 2.664/2026. Todo o conteúdo foi revisado pelos autores, que assumem integral responsabilidade pelos dados, análises e conclusões.</w:t>
      </w:r>
    </w:p>
    <w:bookmarkEnd w:id="29"/>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Sem o ato de ampliação,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Ministério da Cultura (SALIC).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2026-09-24T14:43:53Z</dcterms:created>
  <dcterms:modified xsi:type="dcterms:W3CDTF">2026-09-24T14:43:53Z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