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 Neste artigo, avalia-se o desenho da LICC: a partir da teoria da mudança derivam-se cinco premissas, por meio de normas, anexos oficiais e atas da comissão de 2022 a 2026, que orientam uma proposta de avaliação de impacto. A decisão de alocação dos recursos não demonstra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decidido pela ordem de recebimento e validação dos termos de patrocínio. Até 13% do valor captado em 2025 poderia remunerar captação e elaboração, projetos pequenos captam cada vez menos, e só pessoas jurídicas contribuintes patrocinam. 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w:t>
      </w:r>
      <w:r>
        <w:t xml:space="preserve"> </w:t>
      </w:r>
      <w:hyperlink w:anchor="ref-espirito-12">
        <w:r>
          <w:rPr>
            <w:rStyle w:val="Hyperlink"/>
          </w:rPr>
          <w:t xml:space="preserve">2021a</w:t>
        </w:r>
      </w:hyperlink>
      <w:r>
        <w:t xml:space="preserve">).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w:t>
      </w:r>
      <w:r>
        <w:t xml:space="preserve"> </w:t>
      </w:r>
      <w:hyperlink w:anchor="ref-ibge-22">
        <w:r>
          <w:rPr>
            <w:rStyle w:val="Hyperlink"/>
          </w:rPr>
          <w:t xml:space="preserve">2025</w:t>
        </w:r>
      </w:hyperlink>
      <w:r>
        <w:t xml:space="preserve">). Na economia criativa, que soma às artes atividades de mercado como design e publicidade, o estado ficava perto da média: 8,2% dos ocupados no 2º trimestre de 2020, contra 8,5% no país, a 8ª posição (SECULT,</w:t>
      </w:r>
      <w:r>
        <w:t xml:space="preserve"> </w:t>
      </w:r>
      <w:hyperlink w:anchor="ref-secult-29">
        <w:r>
          <w:rPr>
            <w:rStyle w:val="Hyperlink"/>
          </w:rPr>
          <w:t xml:space="preserve">2020</w:t>
        </w:r>
      </w:hyperlink>
      <w:r>
        <w:t xml:space="preserve">). O contraste sugere a falta de coordenação entre os tomadores de decisão e proponentes dos bens públicos culturais, que a LICC financia, e não um atraso da atividade criativa em execução. A desigualdade de infraestrutura também é interna: em 2021, 95% da população da Região Metropolitana da Grande Vitória (RMGV) vivia em município com cinema, contra 34% da do interior, e metade dos municípios do interior não tinha fundo municipal de cultura (IBGE,</w:t>
      </w:r>
      <w:r>
        <w:t xml:space="preserve"> </w:t>
      </w:r>
      <w:hyperlink w:anchor="ref-ibge-23">
        <w:r>
          <w:rPr>
            <w:rStyle w:val="Hyperlink"/>
          </w:rPr>
          <w:t xml:space="preserve">2022</w:t>
        </w:r>
      </w:hyperlink>
      <w:r>
        <w:t xml:space="preserve">).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w:t>
      </w:r>
      <w:r>
        <w:t xml:space="preserve"> </w:t>
      </w:r>
      <w:hyperlink w:anchor="ref-secult-39">
        <w:r>
          <w:rPr>
            <w:rStyle w:val="Hyperlink"/>
          </w:rPr>
          <w:t xml:space="preserve">2026c</w:t>
        </w:r>
      </w:hyperlink>
      <w:r>
        <w:t xml:space="preserve">; BRASIL,</w:t>
      </w:r>
      <w:r>
        <w:t xml:space="preserve"> </w:t>
      </w:r>
      <w:hyperlink w:anchor="ref-brasil-6">
        <w:r>
          <w:rPr>
            <w:rStyle w:val="Hyperlink"/>
          </w:rPr>
          <w:t xml:space="preserve">2026</w:t>
        </w:r>
      </w:hyperlink>
      <w:r>
        <w:t xml:space="preserve">). Segundo, quem decide o destino do recurso é a empresa patrocinadora, e não o Estado, o que expõe a política às críticas de concentração e de lógica de marketing feitas à Lei Rouanet (SILVA,</w:t>
      </w:r>
      <w:r>
        <w:t xml:space="preserve"> </w:t>
      </w:r>
      <w:hyperlink w:anchor="ref-silva-45">
        <w:r>
          <w:rPr>
            <w:rStyle w:val="Hyperlink"/>
          </w:rPr>
          <w:t xml:space="preserve">2017</w:t>
        </w:r>
      </w:hyperlink>
      <w:r>
        <w:t xml:space="preserve">; DEKKER; RODRIGUES,</w:t>
      </w:r>
      <w:r>
        <w:t xml:space="preserve"> </w:t>
      </w:r>
      <w:hyperlink w:anchor="ref-dekker-9">
        <w:r>
          <w:rPr>
            <w:rStyle w:val="Hyperlink"/>
          </w:rPr>
          <w:t xml:space="preserve">2019</w:t>
        </w:r>
      </w:hyperlink>
      <w:r>
        <w:t xml:space="preserve">).</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w:t>
      </w:r>
      <w:r>
        <w:t xml:space="preserve"> </w:t>
      </w:r>
      <w:hyperlink w:anchor="ref-espirito-13">
        <w:r>
          <w:rPr>
            <w:rStyle w:val="Hyperlink"/>
          </w:rPr>
          <w:t xml:space="preserve">2021b</w:t>
        </w:r>
      </w:hyperlink>
      <w:r>
        <w:t xml:space="preserve">,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346"/>
        <w:gridCol w:w="4593"/>
        <w:gridCol w:w="198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w:t>
      </w:r>
      <w:r>
        <w:rPr>
          <w:sz w:val="20"/>
        </w:rPr>
        <w:t xml:space="preserve"> </w:t>
      </w:r>
      <w:hyperlink w:anchor="ref-espirito-12">
        <w:r>
          <w:rPr>
            <w:rStyle w:val="Hyperlink"/>
          </w:rPr>
          <w:t xml:space="preserve">2021a</w:t>
        </w:r>
      </w:hyperlink>
      <w:r>
        <w:rPr>
          <w:sz w:val="20"/>
        </w:rPr>
        <w:t xml:space="preserve">;</w:t>
      </w:r>
      <w:r>
        <w:rPr>
          <w:sz w:val="20"/>
        </w:rPr>
        <w:t xml:space="preserve"> </w:t>
      </w:r>
      <w:hyperlink w:anchor="ref-espirito-13">
        <w:r>
          <w:rPr>
            <w:rStyle w:val="Hyperlink"/>
          </w:rPr>
          <w:t xml:space="preserve">2021b</w:t>
        </w:r>
      </w:hyperlink>
      <w:r>
        <w:rPr>
          <w:sz w:val="20"/>
        </w:rPr>
        <w:t xml:space="preserve">; SECULT,</w:t>
      </w:r>
      <w:r>
        <w:rPr>
          <w:sz w:val="20"/>
        </w:rPr>
        <w:t xml:space="preserve"> </w:t>
      </w:r>
      <w:hyperlink w:anchor="ref-secult-30">
        <w:r>
          <w:rPr>
            <w:rStyle w:val="Hyperlink"/>
          </w:rPr>
          <w:t xml:space="preserve">2022</w:t>
        </w:r>
      </w:hyperlink>
      <w:r>
        <w:rPr>
          <w:sz w:val="20"/>
        </w:rPr>
        <w:t xml:space="preserve">;</w:t>
      </w:r>
      <w:r>
        <w:rPr>
          <w:sz w:val="20"/>
        </w:rPr>
        <w:t xml:space="preserve"> </w:t>
      </w:r>
      <w:hyperlink w:anchor="ref-secult-31">
        <w:r>
          <w:rPr>
            <w:rStyle w:val="Hyperlink"/>
          </w:rPr>
          <w:t xml:space="preserve">2023a</w:t>
        </w:r>
      </w:hyperlink>
      <w:r>
        <w:rPr>
          <w:sz w:val="20"/>
        </w:rPr>
        <w:t xml:space="preserve">;</w:t>
      </w:r>
      <w:r>
        <w:rPr>
          <w:sz w:val="20"/>
        </w:rPr>
        <w:t xml:space="preserve"> </w:t>
      </w:r>
      <w:hyperlink w:anchor="ref-secult-35">
        <w:r>
          <w:rPr>
            <w:rStyle w:val="Hyperlink"/>
          </w:rPr>
          <w:t xml:space="preserve">2025a</w:t>
        </w:r>
      </w:hyperlink>
      <w:r>
        <w:rPr>
          <w:sz w:val="20"/>
        </w:rPr>
        <w:t xml:space="preserve">;</w:t>
      </w:r>
      <w:r>
        <w:rPr>
          <w:sz w:val="20"/>
        </w:rPr>
        <w:t xml:space="preserve"> </w:t>
      </w:r>
      <w:hyperlink w:anchor="ref-secult-38">
        <w:r>
          <w:rPr>
            <w:rStyle w:val="Hyperlink"/>
          </w:rPr>
          <w:t xml:space="preserve">2026a</w:t>
        </w:r>
      </w:hyperlink>
      <w:r>
        <w:rPr>
          <w:sz w:val="20"/>
        </w:rPr>
        <w:t xml:space="preserve">).</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w:t>
      </w:r>
      <w:r>
        <w:t xml:space="preserve"> </w:t>
      </w:r>
      <w:hyperlink w:anchor="ref-secult-34">
        <w:r>
          <w:rPr>
            <w:rStyle w:val="Hyperlink"/>
          </w:rPr>
          <w:t xml:space="preserve">2024b</w:t>
        </w:r>
      </w:hyperlink>
      <w:r>
        <w:t xml:space="preserve">;</w:t>
      </w:r>
      <w:r>
        <w:t xml:space="preserve"> </w:t>
      </w:r>
      <w:hyperlink w:anchor="ref-secult-36">
        <w:r>
          <w:rPr>
            <w:rStyle w:val="Hyperlink"/>
          </w:rPr>
          <w:t xml:space="preserve">2025b</w:t>
        </w:r>
      </w:hyperlink>
      <w:r>
        <w:t xml:space="preserve">); até 2024 a comissão habilitava antes da captação, e desde 2025 o projeto só vai à comissão com patrocinador (SECULT,</w:t>
      </w:r>
      <w:r>
        <w:t xml:space="preserve"> </w:t>
      </w:r>
      <w:hyperlink w:anchor="ref-secult-35">
        <w:r>
          <w:rPr>
            <w:rStyle w:val="Hyperlink"/>
          </w:rPr>
          <w:t xml:space="preserve">2025a</w:t>
        </w:r>
      </w:hyperlink>
      <w:r>
        <w:t xml:space="preserve">, arts. 41-45). A terceira é a pouca informação publicada: os anexos não trazem dados dos projetos do proponente, o local de atuação, nem indicadores de resultado, e os inabilitados só aparecem nos extratos das atas da comissão (SECULT,</w:t>
      </w:r>
      <w:r>
        <w:t xml:space="preserve"> </w:t>
      </w:r>
      <w:hyperlink w:anchor="ref-secult-43">
        <w:r>
          <w:rPr>
            <w:rStyle w:val="Hyperlink"/>
          </w:rPr>
          <w:t xml:space="preserve">2026f</w:t>
        </w:r>
      </w:hyperlink>
      <w:r>
        <w:t xml:space="preserve">).</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w:t>
      </w:r>
      <w:hyperlink w:anchor="ref-feld-16">
        <w:r>
          <w:rPr>
            <w:rStyle w:val="Hyperlink"/>
          </w:rPr>
          <w:t xml:space="preserve">1983</w:t>
        </w:r>
      </w:hyperlink>
      <w:r>
        <w:t xml:space="preserve">), os contribuintes se tornaram</w:t>
      </w:r>
      <w:r>
        <w:t xml:space="preserve"> </w:t>
      </w:r>
      <w:r>
        <w:t xml:space="preserve">“mecenas apesar de si mesmos”</w:t>
      </w:r>
      <w:r>
        <w:t xml:space="preserve">, porque financiam pela renúncia fiscal as escolhas sobre alocação de recursos que não fazem. A dificuldade de financiamento de bens públicos e a falta de coordenação entre o conselho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w:t>
      </w:r>
      <w:r>
        <w:t xml:space="preserve"> </w:t>
      </w:r>
      <w:hyperlink w:anchor="ref-hitzig-21">
        <w:r>
          <w:rPr>
            <w:rStyle w:val="Hyperlink"/>
          </w:rPr>
          <w:t xml:space="preserve">2021</w:t>
        </w:r>
      </w:hyperlink>
      <w:r>
        <w:t xml:space="preserve">, tradução nossa); Buterin, Hitzig e Weyl (</w:t>
      </w:r>
      <w:hyperlink w:anchor="ref-buterin-7">
        <w:r>
          <w:rPr>
            <w:rStyle w:val="Hyperlink"/>
          </w:rPr>
          <w:t xml:space="preserve">2019</w:t>
        </w:r>
      </w:hyperlink>
      <w:r>
        <w:t xml:space="preserve">) tratam o financiamento de bens públicos como formação de comunidades e mostram que, se o valor recebido cresce com o número de contribuintes, e não só com o total aportado, a provisão é ótima no modelo de fundo de contrapartida e contribuições por parte do público.</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w:t>
      </w:r>
      <w:r>
        <w:t xml:space="preserve"> </w:t>
      </w:r>
      <w:hyperlink w:anchor="ref-silva-45">
        <w:r>
          <w:rPr>
            <w:rStyle w:val="Hyperlink"/>
          </w:rPr>
          <w:t xml:space="preserve">2017</w:t>
        </w:r>
      </w:hyperlink>
      <w:r>
        <w:t xml:space="preserve">), concentração persistente de patrocinadores e proponentes (COSTA; MEDEIROS; BUCCO,</w:t>
      </w:r>
      <w:r>
        <w:t xml:space="preserve"> </w:t>
      </w:r>
      <w:hyperlink w:anchor="ref-costa-8">
        <w:r>
          <w:rPr>
            <w:rStyle w:val="Hyperlink"/>
          </w:rPr>
          <w:t xml:space="preserve">2017</w:t>
        </w:r>
      </w:hyperlink>
      <w:r>
        <w:t xml:space="preserve">) e um</w:t>
      </w:r>
      <w:r>
        <w:t xml:space="preserve"> </w:t>
      </w:r>
      <w:r>
        <w:t xml:space="preserve">“mercado de patrocínios”</w:t>
      </w:r>
      <w:r>
        <w:t xml:space="preserve"> </w:t>
      </w:r>
      <w:r>
        <w:t xml:space="preserve">com intermediários e departamentos de marketing (BELEM; DONADONE,</w:t>
      </w:r>
      <w:r>
        <w:t xml:space="preserve"> </w:t>
      </w:r>
      <w:hyperlink w:anchor="ref-belem-2">
        <w:r>
          <w:rPr>
            <w:rStyle w:val="Hyperlink"/>
          </w:rPr>
          <w:t xml:space="preserve">2013</w:t>
        </w:r>
      </w:hyperlink>
      <w:r>
        <w:t xml:space="preserve">). Dekker e Rodrigues (</w:t>
      </w:r>
      <w:hyperlink w:anchor="ref-dekker-9">
        <w:r>
          <w:rPr>
            <w:rStyle w:val="Hyperlink"/>
          </w:rPr>
          <w:t xml:space="preserve">2019</w:t>
        </w:r>
      </w:hyperlink>
      <w:r>
        <w:t xml:space="preserve">)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w:t>
      </w:r>
      <w:r>
        <w:t xml:space="preserve"> </w:t>
      </w:r>
      <w:hyperlink w:anchor="ref-ogava-27">
        <w:r>
          <w:rPr>
            <w:rStyle w:val="Hyperlink"/>
          </w:rPr>
          <w:t xml:space="preserve">2022</w:t>
        </w:r>
      </w:hyperlink>
      <w:r>
        <w:t xml:space="preserve">).</w:t>
      </w:r>
    </w:p>
    <w:p>
      <w:pPr>
        <w:pStyle w:val="BodyText"/>
      </w:pPr>
      <w:r>
        <w:rPr>
          <w:b/>
          <w:bCs/>
        </w:rPr>
        <w:t xml:space="preserve">Evidência causal.</w:t>
      </w:r>
      <w:r>
        <w:t xml:space="preserve"> </w:t>
      </w:r>
      <w:r>
        <w:t xml:space="preserve">Existem poucos trabalhos de avaliação de impacto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w:t>
      </w:r>
      <w:r>
        <w:t xml:space="preserve"> </w:t>
      </w:r>
      <w:hyperlink w:anchor="ref-teixeira-46">
        <w:r>
          <w:rPr>
            <w:rStyle w:val="Hyperlink"/>
          </w:rPr>
          <w:t xml:space="preserve">2021</w:t>
        </w:r>
      </w:hyperlink>
      <w:r>
        <w:t xml:space="preserve">). 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w:t>
      </w:r>
      <w:r>
        <w:t xml:space="preserve"> </w:t>
      </w:r>
      <w:hyperlink w:anchor="ref-ijsn-24">
        <w:r>
          <w:rPr>
            <w:rStyle w:val="Hyperlink"/>
          </w:rPr>
          <w:t xml:space="preserve">2026</w:t>
        </w:r>
      </w:hyperlink>
      <w:r>
        <w:t xml:space="preserve">; DIO-ES,</w:t>
      </w:r>
      <w:r>
        <w:t xml:space="preserve"> </w:t>
      </w:r>
      <w:hyperlink w:anchor="ref-dio-es-10">
        <w:r>
          <w:rPr>
            <w:rStyle w:val="Hyperlink"/>
          </w:rPr>
          <w:t xml:space="preserve">2026</w:t>
        </w:r>
      </w:hyperlink>
      <w:r>
        <w:t xml:space="preserve">): a medida simula a atividade gerada pelo gasto, e não o que ocorreria sem o incentivo.</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w:t>
      </w:r>
      <w:hyperlink w:anchor="ref-gertler-20">
        <w:r>
          <w:rPr>
            <w:rStyle w:val="Hyperlink"/>
          </w:rPr>
          <w:t xml:space="preserve">2018</w:t>
        </w:r>
      </w:hyperlink>
      <w:r>
        <w:t xml:space="preserve">),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w:t>
      </w:r>
      <w:r>
        <w:t xml:space="preserve"> </w:t>
      </w:r>
      <w:hyperlink w:anchor="ref-mayne-25">
        <w:r>
          <w:rPr>
            <w:rStyle w:val="Hyperlink"/>
          </w:rPr>
          <w:t xml:space="preserve">2015</w:t>
        </w:r>
      </w:hyperlink>
      <w:r>
        <w:t xml:space="preserve">).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w:t>
      </w:r>
      <w:r>
        <w:rPr>
          <w:sz w:val="20"/>
        </w:rPr>
        <w:t xml:space="preserve"> </w:t>
      </w:r>
      <w:hyperlink w:anchor="ref-gertler-20">
        <w:r>
          <w:rPr>
            <w:rStyle w:val="Hyperlink"/>
          </w:rPr>
          <w:t xml:space="preserve">2018</w:t>
        </w:r>
      </w:hyperlink>
      <w:r>
        <w:rPr>
          <w:sz w:val="20"/>
        </w:rPr>
        <w:t xml:space="preserve">),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w:t>
      </w:r>
      <w:hyperlink w:anchor="ref-williams-48">
        <w:r>
          <w:rPr>
            <w:rStyle w:val="Hyperlink"/>
          </w:rPr>
          <w:t xml:space="preserve">2020</w:t>
        </w:r>
      </w:hyperlink>
      <w:r>
        <w:t xml:space="preserve">),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w:t>
      </w:r>
      <w:r>
        <w:t xml:space="preserve"> </w:t>
      </w:r>
      <w:hyperlink w:anchor="ref-espirito-13">
        <w:r>
          <w:rPr>
            <w:rStyle w:val="Hyperlink"/>
          </w:rPr>
          <w:t xml:space="preserve">2021b</w:t>
        </w:r>
      </w:hyperlink>
      <w:r>
        <w:t xml:space="preserve">, art. 3º). Não há meta, magnitude esperada nem indicador: no relatório de avaliação do PPA, a LICC aparece só no relato de uma ação de despesa, sem produto nem meta física próprios (ESPÍRITO SANTO,</w:t>
      </w:r>
      <w:r>
        <w:t xml:space="preserve"> </w:t>
      </w:r>
      <w:hyperlink w:anchor="ref-espirito-15">
        <w:r>
          <w:rPr>
            <w:rStyle w:val="Hyperlink"/>
          </w:rPr>
          <w:t xml:space="preserve">2026b</w:t>
        </w:r>
      </w:hyperlink>
      <w:r>
        <w:t xml:space="preserve">). A LICC não atende ao critério de que um programa declare resultados e magnitude esperados (BARROS; LIMA,</w:t>
      </w:r>
      <w:r>
        <w:t xml:space="preserve"> </w:t>
      </w:r>
      <w:hyperlink w:anchor="ref-barros-1">
        <w:r>
          <w:rPr>
            <w:rStyle w:val="Hyperlink"/>
          </w:rPr>
          <w:t xml:space="preserve">2017</w:t>
        </w:r>
      </w:hyperlink>
      <w:r>
        <w:t xml:space="preserve">).</w:t>
      </w:r>
    </w:p>
    <w:p>
      <w:pPr>
        <w:pStyle w:val="BodyText"/>
      </w:pPr>
      <w:r>
        <w:rPr>
          <w:b/>
          <w:bCs/>
        </w:rPr>
        <w:t xml:space="preserve">Funil de atrito e indicadores.</w:t>
      </w:r>
      <w:r>
        <w:t xml:space="preserve"> </w:t>
      </w:r>
      <w:r>
        <w:t xml:space="preserve">O funil mede, elo a elo, quantos beneficiários potenciais chegam ao fim da cadeia (WHITE; RAITZER,</w:t>
      </w:r>
      <w:r>
        <w:t xml:space="preserve"> </w:t>
      </w:r>
      <w:hyperlink w:anchor="ref-white-47">
        <w:r>
          <w:rPr>
            <w:rStyle w:val="Hyperlink"/>
          </w:rPr>
          <w:t xml:space="preserve">2017</w:t>
        </w:r>
      </w:hyperlink>
      <w:r>
        <w:t xml:space="preserve">);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Indeterminada: marca e valor público não se separam no dado público</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w:t>
      </w:r>
      <w:hyperlink w:anchor="ref-williams-48">
        <w:r>
          <w:rPr>
            <w:rStyle w:val="Hyperlink"/>
          </w:rPr>
          <w:t xml:space="preserve">2020</w:t>
        </w:r>
      </w:hyperlink>
      <w:r>
        <w:rPr>
          <w:sz w:val="20"/>
        </w:rPr>
        <w:t xml:space="preserve">), com base nas normas do Quadro 1, em SECULT (</w:t>
      </w:r>
      <w:hyperlink w:anchor="ref-secult-42">
        <w:r>
          <w:rPr>
            <w:rStyle w:val="Hyperlink"/>
          </w:rPr>
          <w:t xml:space="preserve">2026b</w:t>
        </w:r>
      </w:hyperlink>
      <w:r>
        <w:rPr>
          <w:sz w:val="20"/>
        </w:rPr>
        <w:t xml:space="preserve">;</w:t>
      </w:r>
      <w:r>
        <w:rPr>
          <w:sz w:val="20"/>
        </w:rPr>
        <w:t xml:space="preserve"> </w:t>
      </w:r>
      <w:hyperlink w:anchor="ref-secult-39">
        <w:r>
          <w:rPr>
            <w:rStyle w:val="Hyperlink"/>
          </w:rPr>
          <w:t xml:space="preserve">2026c</w:t>
        </w:r>
      </w:hyperlink>
      <w:r>
        <w:rPr>
          <w:sz w:val="20"/>
        </w:rPr>
        <w:t xml:space="preserve">;</w:t>
      </w:r>
      <w:r>
        <w:rPr>
          <w:sz w:val="20"/>
        </w:rPr>
        <w:t xml:space="preserve"> </w:t>
      </w:r>
      <w:hyperlink w:anchor="ref-secult-40">
        <w:r>
          <w:rPr>
            <w:rStyle w:val="Hyperlink"/>
          </w:rPr>
          <w:t xml:space="preserve">2026d</w:t>
        </w:r>
      </w:hyperlink>
      <w:r>
        <w:rPr>
          <w:sz w:val="20"/>
        </w:rPr>
        <w:t xml:space="preserve">), no Portal da Transparência (ESPÍRITO SANTO,</w:t>
      </w:r>
      <w:r>
        <w:rPr>
          <w:sz w:val="20"/>
        </w:rPr>
        <w:t xml:space="preserve"> </w:t>
      </w:r>
      <w:hyperlink w:anchor="ref-espirito-14">
        <w:r>
          <w:rPr>
            <w:rStyle w:val="Hyperlink"/>
          </w:rPr>
          <w:t xml:space="preserve">2026a</w:t>
        </w:r>
      </w:hyperlink>
      <w:r>
        <w:rPr>
          <w:sz w:val="20"/>
        </w:rPr>
        <w:t xml:space="preserve">)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118"/>
        <w:gridCol w:w="1980"/>
        <w:gridCol w:w="1821"/>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w:t>
      </w:r>
      <w:hyperlink w:anchor="ref-secult-42">
        <w:r>
          <w:rPr>
            <w:rStyle w:val="Hyperlink"/>
          </w:rPr>
          <w:t xml:space="preserve">2026b</w:t>
        </w:r>
      </w:hyperlink>
      <w:r>
        <w:rPr>
          <w:sz w:val="20"/>
        </w:rPr>
        <w:t xml:space="preserve">;</w:t>
      </w:r>
      <w:r>
        <w:rPr>
          <w:sz w:val="20"/>
        </w:rPr>
        <w:t xml:space="preserve"> </w:t>
      </w:r>
      <w:hyperlink w:anchor="ref-secult-39">
        <w:r>
          <w:rPr>
            <w:rStyle w:val="Hyperlink"/>
          </w:rPr>
          <w:t xml:space="preserve">2026c</w:t>
        </w:r>
      </w:hyperlink>
      <w:r>
        <w:rPr>
          <w:sz w:val="20"/>
        </w:rPr>
        <w:t xml:space="preserve">) e na API pública do Mapa Cultural do Espírito Santo (SECULT,</w:t>
      </w:r>
      <w:r>
        <w:rPr>
          <w:sz w:val="20"/>
        </w:rPr>
        <w:t xml:space="preserve"> </w:t>
      </w:r>
      <w:hyperlink w:anchor="ref-secult-40">
        <w:r>
          <w:rPr>
            <w:rStyle w:val="Hyperlink"/>
          </w:rPr>
          <w:t xml:space="preserve">2026d</w:t>
        </w:r>
      </w:hyperlink>
      <w:r>
        <w:rPr>
          <w:sz w:val="20"/>
        </w:rPr>
        <w:t xml:space="preserve">).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w:t>
      </w:r>
      <w:r>
        <w:t xml:space="preserve"> </w:t>
      </w:r>
      <w:hyperlink w:anchor="ref-secult-35">
        <w:r>
          <w:rPr>
            <w:rStyle w:val="Hyperlink"/>
          </w:rPr>
          <w:t xml:space="preserve">2025a</w:t>
        </w:r>
      </w:hyperlink>
      <w:r>
        <w:t xml:space="preserve">, arts. 17 e 19). Do lado de quem financia, só pessoa jurídica contribuinte do ICMS patrocina (ESPÍRITO SANTO,</w:t>
      </w:r>
      <w:r>
        <w:t xml:space="preserve"> </w:t>
      </w:r>
      <w:hyperlink w:anchor="ref-espirito-13">
        <w:r>
          <w:rPr>
            <w:rStyle w:val="Hyperlink"/>
          </w:rPr>
          <w:t xml:space="preserve">2021b</w:t>
        </w:r>
      </w:hyperlink>
      <w:r>
        <w:t xml:space="preserve">, art. 2º), e as optantes do Simples Nacional, que não podem destinar valor a título de incentivo fiscal (BRASIL,</w:t>
      </w:r>
      <w:r>
        <w:t xml:space="preserve"> </w:t>
      </w:r>
      <w:hyperlink w:anchor="ref-brasil-4">
        <w:r>
          <w:rPr>
            <w:rStyle w:val="Hyperlink"/>
          </w:rPr>
          <w:t xml:space="preserve">2006</w:t>
        </w:r>
      </w:hyperlink>
      <w:r>
        <w:t xml:space="preserve">, art. 24), tampouco emitem a carta de intenção (SECULT,</w:t>
      </w:r>
      <w:r>
        <w:t xml:space="preserve"> </w:t>
      </w:r>
      <w:hyperlink w:anchor="ref-secult-38">
        <w:r>
          <w:rPr>
            <w:rStyle w:val="Hyperlink"/>
          </w:rPr>
          <w:t xml:space="preserve">2026a</w:t>
        </w:r>
      </w:hyperlink>
      <w:r>
        <w:t xml:space="preserve">,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Os pedidos se acumulam no teto por projeto: 36% dos habilitados do ciclo 2025 pediram exatamente R$ 500 mil, o que também ocorre se quem já tem patrocinador pede o máximo. O custo de entrada é o que a literatura chama de custo administrativo (MOYNIHAN; HERD; HARVEY,</w:t>
      </w:r>
      <w:r>
        <w:t xml:space="preserve"> </w:t>
      </w:r>
      <w:hyperlink w:anchor="ref-moynihan-26">
        <w:r>
          <w:rPr>
            <w:rStyle w:val="Hyperlink"/>
          </w:rPr>
          <w:t xml:space="preserve">2015</w:t>
        </w:r>
      </w:hyperlink>
      <w:r>
        <w:t xml:space="preserve">); ele pode excluir sem selecionar ou funcionar como triagem (FINKELSTEIN; NOTOWIDIGDO,</w:t>
      </w:r>
      <w:r>
        <w:t xml:space="preserve"> </w:t>
      </w:r>
      <w:hyperlink w:anchor="ref-finkelstein-17">
        <w:r>
          <w:rPr>
            <w:rStyle w:val="Hyperlink"/>
          </w:rPr>
          <w:t xml:space="preserve">2019</w:t>
        </w:r>
      </w:hyperlink>
      <w:r>
        <w:t xml:space="preserve">).</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w:t>
      </w:r>
      <w:r>
        <w:t xml:space="preserve"> </w:t>
      </w:r>
      <w:hyperlink w:anchor="ref-espirito-13">
        <w:r>
          <w:rPr>
            <w:rStyle w:val="Hyperlink"/>
          </w:rPr>
          <w:t xml:space="preserve">2021b</w:t>
        </w:r>
      </w:hyperlink>
      <w:r>
        <w:t xml:space="preserve">, art. 14): para cada critério, o parecerista indica se o projeto</w:t>
      </w:r>
      <w:r>
        <w:t xml:space="preserve"> </w:t>
      </w:r>
      <w:r>
        <w:t xml:space="preserve">“atende ou não”</w:t>
      </w:r>
      <w:r>
        <w:t xml:space="preserve"> </w:t>
      </w:r>
      <w:r>
        <w:t xml:space="preserve">(SECULT,</w:t>
      </w:r>
      <w:r>
        <w:t xml:space="preserve"> </w:t>
      </w:r>
      <w:hyperlink w:anchor="ref-secult-41">
        <w:r>
          <w:rPr>
            <w:rStyle w:val="Hyperlink"/>
          </w:rPr>
          <w:t xml:space="preserve">2026e</w:t>
        </w:r>
      </w:hyperlink>
      <w:r>
        <w:t xml:space="preserve">), e o Mapa Cultural registra só a situação da inscrição (SECULT,</w:t>
      </w:r>
      <w:r>
        <w:t xml:space="preserve"> </w:t>
      </w:r>
      <w:hyperlink w:anchor="ref-secult-40">
        <w:r>
          <w:rPr>
            <w:rStyle w:val="Hyperlink"/>
          </w:rPr>
          <w:t xml:space="preserve">2026d</w:t>
        </w:r>
      </w:hyperlink>
      <w:r>
        <w:t xml:space="preserve">). Nenhuma das normas examinadas prevê nota, peso ou ordem de prioridade; a única pontuação é a do credenciamento dos pareceristas, que recebem os projetos por ordem de inscrição e área (SECULT,</w:t>
      </w:r>
      <w:r>
        <w:t xml:space="preserve"> </w:t>
      </w:r>
      <w:hyperlink w:anchor="ref-secult-37">
        <w:r>
          <w:rPr>
            <w:rStyle w:val="Hyperlink"/>
          </w:rPr>
          <w:t xml:space="preserve">2025c</w:t>
        </w:r>
      </w:hyperlink>
      <w:r>
        <w:t xml:space="preserve">). Desde 2025, o parecer favorável já emite o certificado, e a comissão só delibera sobre inabilitações e, com 35% de patrocínio, sobre a habilitação (SECULT,</w:t>
      </w:r>
      <w:r>
        <w:t xml:space="preserve"> </w:t>
      </w:r>
      <w:hyperlink w:anchor="ref-secult-35">
        <w:r>
          <w:rPr>
            <w:rStyle w:val="Hyperlink"/>
          </w:rPr>
          <w:t xml:space="preserve">2025a</w:t>
        </w:r>
      </w:hyperlink>
      <w:r>
        <w:t xml:space="preserve">, arts. 40, 41 e 45). As atas de 158 reuniões com deliberação, de 2022 a 2026, listam 86 projetos inabilitados, 15% dos deliberados, sem motivo nem critério publicados (SECULT,</w:t>
      </w:r>
      <w:r>
        <w:t xml:space="preserve"> </w:t>
      </w:r>
      <w:hyperlink w:anchor="ref-secult-43">
        <w:r>
          <w:rPr>
            <w:rStyle w:val="Hyperlink"/>
          </w:rPr>
          <w:t xml:space="preserve">2026f</w:t>
        </w:r>
      </w:hyperlink>
      <w:r>
        <w:t xml:space="preserve">). A habilitação qualifica, mas não prioriza, e o que excedeu o teto em 2023-2025 ficou de fora pela regra da ordem de chegada e validação (SECULT,</w:t>
      </w:r>
      <w:r>
        <w:t xml:space="preserve"> </w:t>
      </w:r>
      <w:hyperlink w:anchor="ref-secult-39">
        <w:r>
          <w:rPr>
            <w:rStyle w:val="Hyperlink"/>
          </w:rPr>
          <w:t xml:space="preserve">2026c</w:t>
        </w:r>
      </w:hyperlink>
      <w:r>
        <w:t xml:space="preserve">), cuja aplicação só as horas de protocolo dos recusados, não publicadas, permitiriam conferir. A ordenação seria possível: no Funcultura, a mesma SECULT atribui nota e ordena os projetos por linha e porte do município (SECULT,</w:t>
      </w:r>
      <w:r>
        <w:t xml:space="preserve"> </w:t>
      </w:r>
      <w:hyperlink w:anchor="ref-secult-44">
        <w:r>
          <w:rPr>
            <w:rStyle w:val="Hyperlink"/>
          </w:rPr>
          <w:t xml:space="preserve">2026g</w:t>
        </w:r>
      </w:hyperlink>
      <w:r>
        <w:t xml:space="preserve">).</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w:t>
      </w:r>
      <w:r>
        <w:t xml:space="preserve"> </w:t>
      </w:r>
      <w:hyperlink w:anchor="ref-secult-35">
        <w:r>
          <w:rPr>
            <w:rStyle w:val="Hyperlink"/>
          </w:rPr>
          <w:t xml:space="preserve">2025a</w:t>
        </w:r>
      </w:hyperlink>
      <w:r>
        <w:t xml:space="preserve">,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w:t>
      </w:r>
      <w:r>
        <w:t xml:space="preserve"> </w:t>
      </w:r>
      <w:hyperlink w:anchor="ref-o-hagan-28">
        <w:r>
          <w:rPr>
            <w:rStyle w:val="Hyperlink"/>
          </w:rPr>
          <w:t xml:space="preserve">2000</w:t>
        </w:r>
      </w:hyperlink>
      <w:r>
        <w:t xml:space="preserve">), e a filantropia empresarial também serve de canal de influência política (BERTRAND</w:t>
      </w:r>
      <w:r>
        <w:t xml:space="preserve"> </w:t>
      </w:r>
      <w:r>
        <w:rPr>
          <w:i/>
          <w:iCs/>
        </w:rPr>
        <w:t xml:space="preserve">et al.</w:t>
      </w:r>
      <w:r>
        <w:t xml:space="preserve">,</w:t>
      </w:r>
      <w:r>
        <w:t xml:space="preserve"> </w:t>
      </w:r>
      <w:hyperlink w:anchor="ref-bertrand-3">
        <w:r>
          <w:rPr>
            <w:rStyle w:val="Hyperlink"/>
          </w:rPr>
          <w:t xml:space="preserve">2020</w:t>
        </w:r>
      </w:hyperlink>
      <w:r>
        <w:t xml:space="preserve">); a maior patrocinadora de 2025 é uma distribuidora de energia, serviço regulado sob concessão. Com o dado público, marca e valor público não se separam, porque os eventos grandes e antigos são os mais visíveis e os de maior público: a premissa fica indeterminada. Sob crédito integral, escolher pela marca é o esperado. O limite está no mecanismo: cada escolha pesa pelo imposto de quem escolhe, e o número de pessoas que valorizam o bem não entra no cálculo (BUTERIN; HITZIG; WEYL,</w:t>
      </w:r>
      <w:r>
        <w:t xml:space="preserve"> </w:t>
      </w:r>
      <w:hyperlink w:anchor="ref-buterin-7">
        <w:r>
          <w:rPr>
            <w:rStyle w:val="Hyperlink"/>
          </w:rPr>
          <w:t xml:space="preserve">2019</w:t>
        </w:r>
      </w:hyperlink>
      <w:r>
        <w:t xml:space="preserve">);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w:t>
      </w:r>
      <w:r>
        <w:t xml:space="preserve"> </w:t>
      </w:r>
      <w:hyperlink w:anchor="ref-secult-35">
        <w:r>
          <w:rPr>
            <w:rStyle w:val="Hyperlink"/>
          </w:rPr>
          <w:t xml:space="preserve">2025a</w:t>
        </w:r>
      </w:hyperlink>
      <w:r>
        <w:t xml:space="preserve">, arts. 26-28). Aplicados ao valor captado de cada projeto de 2025, os dois primeiros limites somam R$ 3,36 milhões, 13% dos R$ 25 milhões. Em 2026, captação e elaboração tornaram-se uma despesa única de até 10%, que pode ser paga ao próprio proponente (SECULT,</w:t>
      </w:r>
      <w:r>
        <w:t xml:space="preserve"> </w:t>
      </w:r>
      <w:hyperlink w:anchor="ref-secult-38">
        <w:r>
          <w:rPr>
            <w:rStyle w:val="Hyperlink"/>
          </w:rPr>
          <w:t xml:space="preserve">2026a</w:t>
        </w:r>
      </w:hyperlink>
      <w:r>
        <w:t xml:space="preserve">,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w:t>
      </w:r>
      <w:r>
        <w:t xml:space="preserve"> </w:t>
      </w:r>
      <w:hyperlink w:anchor="ref-brasil-5">
        <w:r>
          <w:rPr>
            <w:rStyle w:val="Hyperlink"/>
          </w:rPr>
          <w:t xml:space="preserve">2016</w:t>
        </w:r>
      </w:hyperlink>
      <w:r>
        <w:t xml:space="preserve">). A RMGV tem 49% da população e fica com 67% do valor atribuível a um município em 2022-2026.</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 A seção 5 propõe uma avaliação que liga três delas: se a escolha pela marca (H1) deixa de fora quem depende do incentivo (H4) e financia o que ocorreria de todo modo (H5).</w:t>
      </w:r>
    </w:p>
    <w:bookmarkEnd w:id="23"/>
    <w:bookmarkEnd w:id="24"/>
    <w:bookmarkStart w:id="31" w:name="proposta-de-avaliação-de-impacto"/>
    <w:p>
      <w:pPr>
        <w:pStyle w:val="Heading1"/>
      </w:pPr>
      <w:r>
        <w:t xml:space="preserve">5 Proposta de avaliação de impacto</w:t>
      </w:r>
    </w:p>
    <w:bookmarkStart w:id="25" w:name="pergunta-e-parâmetros"/>
    <w:p>
      <w:pPr>
        <w:pStyle w:val="Heading2"/>
      </w:pPr>
      <w:r>
        <w:t xml:space="preserve">5.1 Pergunta e parâmetros</w:t>
      </w:r>
    </w:p>
    <w:p>
      <w:pPr>
        <w:pStyle w:val="FirstParagraph"/>
      </w:pP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w:t>
      </w:r>
      <w:r>
        <w:t xml:space="preserve"> </w:t>
      </w:r>
      <w:hyperlink w:anchor="ref-gertler-20">
        <w:r>
          <w:rPr>
            <w:rStyle w:val="Hyperlink"/>
          </w:rPr>
          <w:t xml:space="preserve">2018</w:t>
        </w:r>
      </w:hyperlink>
      <w:r>
        <w:t xml:space="preserve">, p. 74). A LICC combina duas. A primeira é a preferência de quem recolhe o imposto, que o Estado não observa; a segunda é a ordem de chegada dos termos à SEFAZ. A CAP qualifica, mas não ordena (seção 4.2). Por isso a avaliação faz uma única pergunta, que reúne H1, H4 e H5:</w:t>
      </w:r>
      <w:r>
        <w:t xml:space="preserve"> </w:t>
      </w:r>
      <w:r>
        <w:rPr>
          <w:b/>
          <w:bCs/>
        </w:rPr>
        <w:t xml:space="preserve">a renúncia vai para os projetos que dependem dela?</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BodyText"/>
      </w:pP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 Há quatro médias (FOGUEL,</w:t>
      </w:r>
      <w:r>
        <w:t xml:space="preserve"> </w:t>
      </w:r>
      <w:hyperlink w:anchor="ref-foguel-18">
        <w:r>
          <w:rPr>
            <w:rStyle w:val="Hyperlink"/>
          </w:rPr>
          <w:t xml:space="preserve">2017</w:t>
        </w:r>
      </w:hyperlink>
      <w:r>
        <w:t xml:space="preserve">,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 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w:t>
      </w:r>
      <w:r>
        <w:t xml:space="preserve"> </w:t>
      </w:r>
      <w:hyperlink w:anchor="ref-foguel-18">
        <w:r>
          <w:rPr>
            <w:rStyle w:val="Hyperlink"/>
          </w:rPr>
          <w:t xml:space="preserve">2017</w:t>
        </w:r>
      </w:hyperlink>
      <w:r>
        <w:t xml:space="preserve">, p. 50). Numa avaliação de programa,</w:t>
      </w:r>
      <w:r>
        <w:t xml:space="preserve"> </w:t>
      </w:r>
      <w:r>
        <w:rPr>
          <w:i/>
          <w:iCs/>
        </w:rPr>
        <w:t xml:space="preserve">V</w:t>
      </w:r>
      <w:r>
        <w:t xml:space="preserve"> </w:t>
      </w:r>
      <w:r>
        <w:t xml:space="preserve">é o erro a eliminar. Aqui ele é o objeto: mede o quanto o mecanismo prefere projetos que aconteceriam de todo modo.</w:t>
      </w:r>
    </w:p>
    <w:p>
      <w:pPr>
        <w:pStyle w:val="BodyText"/>
      </w:pPr>
      <w:r>
        <w:t xml:space="preserve">A hipótese do artigo é</w:t>
      </w:r>
      <w:r>
        <w:t xml:space="preserve"> </w:t>
      </w:r>
      <w:r>
        <w:rPr>
          <w:i/>
          <w:iCs/>
        </w:rPr>
        <w:t xml:space="preserve">V</w:t>
      </w:r>
      <w:r>
        <w:t xml:space="preserve"> </w:t>
      </w:r>
      <w:r>
        <w:t xml:space="preserve">&gt; 0, concentrado nos projetos grandes e recorrentes. 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w:t>
      </w:r>
      <w:r>
        <w:t xml:space="preserve"> </w:t>
      </w:r>
      <w:hyperlink w:anchor="ref-foguel-18">
        <w:r>
          <w:rPr>
            <w:rStyle w:val="Hyperlink"/>
          </w:rPr>
          <w:t xml:space="preserve">2017</w:t>
        </w:r>
      </w:hyperlink>
      <w:r>
        <w:t xml:space="preserve">, p. 47), é o que importa para um teto que mais que dobrou de 2023 a 2026. O mecanismo tampouco registra quantos valorizam um projeto (BUTERIN; HITZIG; WEYL,</w:t>
      </w:r>
      <w:r>
        <w:t xml:space="preserve"> </w:t>
      </w:r>
      <w:hyperlink w:anchor="ref-buterin-7">
        <w:r>
          <w:rPr>
            <w:rStyle w:val="Hyperlink"/>
          </w:rPr>
          <w:t xml:space="preserve">2019</w:t>
        </w:r>
      </w:hyperlink>
      <w:r>
        <w:t xml:space="preserve">): 152 dos 213 projetos com termo em 2022-2025 (71%), com 68% do valor, têm um só patrocinador (ESPÍRITO SANTO,</w:t>
      </w:r>
      <w:r>
        <w:t xml:space="preserve"> </w:t>
      </w:r>
      <w:hyperlink w:anchor="ref-espirito-14">
        <w:r>
          <w:rPr>
            <w:rStyle w:val="Hyperlink"/>
          </w:rPr>
          <w:t xml:space="preserve">2026a</w:t>
        </w:r>
      </w:hyperlink>
      <w:r>
        <w:t xml:space="preserve">). Duas premissas ficam fora do contrafactual: a regra da CAP (H2) entra pelo filtro que ela aplica, com os inabilitados, e a taxa de serviço (H3) é pergunta normativa (GERTLER</w:t>
      </w:r>
      <w:r>
        <w:t xml:space="preserve"> </w:t>
      </w:r>
      <w:r>
        <w:rPr>
          <w:i/>
          <w:iCs/>
        </w:rPr>
        <w:t xml:space="preserve">et al.</w:t>
      </w:r>
      <w:r>
        <w:t xml:space="preserve">,</w:t>
      </w:r>
      <w:r>
        <w:t xml:space="preserve"> </w:t>
      </w:r>
      <w:hyperlink w:anchor="ref-gertler-20">
        <w:r>
          <w:rPr>
            <w:rStyle w:val="Hyperlink"/>
          </w:rPr>
          <w:t xml:space="preserve">2018</w:t>
        </w:r>
      </w:hyperlink>
      <w:r>
        <w:t xml:space="preserve">), respondida pela auditoria das despesas executadas, pedidas por LAI. O Quadro 3 resume os parâmetros.</w:t>
      </w:r>
    </w:p>
    <w:p>
      <w:pPr>
        <w:pStyle w:val="BodyText"/>
        <w:keepNext/>
      </w:pPr>
      <w:r>
        <w:rPr>
          <w:b/>
        </w:rPr>
        <w:t>Quadro 3</w:t>
      </w:r>
      <w:r>
        <w:rPr>
          <w:b w:val="0"/>
        </w:rPr>
        <w:t xml:space="preserve"> – Parâmetros, grupos de comparação e regras de decisão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742"/>
        <w:gridCol w:w="2138"/>
        <w:gridCol w:w="1504"/>
        <w:gridCol w:w="2534"/>
      </w:tblGrid>
      <w:tr>
        <w:trPr>
          <w:tblHeader w:val="on"/>
          <w:tblHeader w:val="true"/>
        </w:trPr>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Grupo que o mede</w:t>
            </w:r>
          </w:p>
        </w:tc>
        <w:tc>
          <w:tcPr>
            <w:tcBorders>
              <w:bottom w:val="single" w:sz="4" w:space="0" w:color="000000"/>
            </w:tcBorders>
          </w:tcPr>
          <w:p>
            <w:pPr>
              <w:pStyle w:val="Compact"/>
              <w:spacing w:after="0" w:before="0"/>
              <w:jc w:val="left"/>
            </w:pPr>
            <w:r>
              <w:rPr>
                <w:sz w:val="20"/>
              </w:rPr>
              <w:t xml:space="preserve">Suposição</w:t>
            </w:r>
          </w:p>
        </w:tc>
        <w:tc>
          <w:tcPr>
            <w:tcBorders>
              <w:bottom w:val="single" w:sz="4" w:space="0" w:color="000000"/>
            </w:tcBorders>
          </w:tcPr>
          <w:p>
            <w:pPr>
              <w:pStyle w:val="Compact"/>
              <w:spacing w:after="0" w:before="0"/>
              <w:jc w:val="left"/>
            </w:pPr>
            <w:r>
              <w:rPr>
                <w:sz w:val="20"/>
              </w:rPr>
              <w:t xml:space="preserve">Conclusão se</w:t>
            </w:r>
          </w:p>
        </w:tc>
      </w:tr>
      <w:tr>
        <w:tc>
          <w:tcPr/>
          <w:p>
            <w:pPr>
              <w:pStyle w:val="Compact"/>
              <w:spacing w:after="0" w:before="0"/>
              <w:jc w:val="left"/>
            </w:pPr>
            <m:oMath>
              <m:sSub>
                <m:e>
                  <m:r>
                    <m:t>θ</m:t>
                  </m:r>
                </m:e>
                <m:sub>
                  <m:r>
                    <m:t>1</m:t>
                  </m:r>
                </m:sub>
              </m:sSub>
            </m:oMath>
            <w:r>
              <w:rPr>
                <w:sz w:val="20"/>
              </w:rPr>
              <w:t xml:space="preserve"> </w:t>
            </w:r>
            <w:r>
              <w:rPr>
                <w:sz w:val="20"/>
              </w:rPr>
              <w:t xml:space="preserve">≈</w:t>
            </w:r>
            <w:r>
              <w:rPr>
                <w:sz w:val="20"/>
              </w:rPr>
              <w:t xml:space="preserve"> </w:t>
            </w:r>
            <m:oMath>
              <m:sSub>
                <m:e>
                  <m:r>
                    <m:t>E</m:t>
                  </m:r>
                </m:e>
                <m:sub>
                  <m:r>
                    <m:t>10</m:t>
                  </m:r>
                </m:sub>
              </m:sSub>
            </m:oMath>
            <w:r>
              <w:rPr>
                <w:sz w:val="20"/>
              </w:rPr>
              <w:t xml:space="preserve">: o que os escolhidos fariam sem a LICC</w:t>
            </w:r>
          </w:p>
        </w:tc>
        <w:tc>
          <w:tcPr/>
          <w:p>
            <w:pPr>
              <w:pStyle w:val="Compact"/>
              <w:spacing w:after="0" w:before="0"/>
              <w:jc w:val="left"/>
            </w:pPr>
            <w:r>
              <w:rPr>
                <w:sz w:val="20"/>
              </w:rPr>
              <w:t xml:space="preserve">Termos recusados por esgotamento da cota, que tinham patrocinador</w:t>
            </w:r>
          </w:p>
        </w:tc>
        <w:tc>
          <w:tcPr/>
          <w:p>
            <w:pPr>
              <w:pStyle w:val="Compact"/>
              <w:spacing w:after="0" w:before="0"/>
              <w:jc w:val="left"/>
            </w:pPr>
            <w:r>
              <w:rPr>
                <w:sz w:val="20"/>
              </w:rPr>
              <w:t xml:space="preserve">A recusa depende só da hora do protocolo</w:t>
            </w:r>
          </w:p>
        </w:tc>
        <w:tc>
          <w:tcPr/>
          <w:p>
            <w:pPr>
              <w:pStyle w:val="Compact"/>
              <w:spacing w:after="0" w:before="0"/>
              <w:jc w:val="left"/>
            </w:pPr>
            <w:r>
              <w:rPr>
                <w:sz w:val="20"/>
              </w:rPr>
              <w:t xml:space="preserve">—</w:t>
            </w:r>
          </w:p>
        </w:tc>
      </w:tr>
      <w:tr>
        <w:tc>
          <w:tcPr/>
          <w:p>
            <w:pPr>
              <w:pStyle w:val="Compact"/>
              <w:spacing w:after="0" w:before="0"/>
              <w:jc w:val="left"/>
            </w:pPr>
            <m:oMath>
              <m:sSub>
                <m:e>
                  <m:r>
                    <m:t>θ</m:t>
                  </m:r>
                </m:e>
                <m:sub>
                  <m:r>
                    <m:t>0</m:t>
                  </m:r>
                </m:sub>
              </m:sSub>
            </m:oMath>
            <w:r>
              <w:rPr>
                <w:sz w:val="20"/>
              </w:rPr>
              <w:t xml:space="preserve"> </w:t>
            </w:r>
            <w:r>
              <w:rPr>
                <w:sz w:val="20"/>
              </w:rPr>
              <w:t xml:space="preserve">=</w:t>
            </w:r>
            <w:r>
              <w:rPr>
                <w:sz w:val="20"/>
              </w:rPr>
              <w:t xml:space="preserve"> </w:t>
            </w:r>
            <m:oMath>
              <m:sSub>
                <m:e>
                  <m:r>
                    <m:t>E</m:t>
                  </m:r>
                </m:e>
                <m:sub>
                  <m:r>
                    <m:t>00</m:t>
                  </m:r>
                </m:sub>
              </m:sSub>
            </m:oMath>
            <w:r>
              <w:rPr>
                <w:sz w:val="20"/>
              </w:rPr>
              <w:t xml:space="preserve">: o que os preteridos fazem sem a LICC</w:t>
            </w:r>
          </w:p>
        </w:tc>
        <w:tc>
          <w:tcPr/>
          <w:p>
            <w:pPr>
              <w:pStyle w:val="Compact"/>
              <w:spacing w:after="0" w:before="0"/>
              <w:jc w:val="left"/>
            </w:pPr>
            <w:r>
              <w:rPr>
                <w:sz w:val="20"/>
              </w:rPr>
              <w:t xml:space="preserve">Habilitados cuja captação expirou</w:t>
            </w:r>
          </w:p>
        </w:tc>
        <w:tc>
          <w:tcPr/>
          <w:p>
            <w:pPr>
              <w:pStyle w:val="Compact"/>
              <w:spacing w:after="0" w:before="0"/>
              <w:jc w:val="left"/>
            </w:pPr>
            <w:r>
              <w:rPr>
                <w:sz w:val="20"/>
              </w:rPr>
              <w:t xml:space="preserve">Nenhuma: observável</w:t>
            </w:r>
          </w:p>
        </w:tc>
        <w:tc>
          <w:tcPr/>
          <w:p>
            <w:pPr>
              <w:pStyle w:val="Compact"/>
              <w:spacing w:after="0" w:before="0"/>
              <w:jc w:val="left"/>
            </w:pPr>
            <w:r>
              <w:rPr>
                <w:sz w:val="20"/>
              </w:rPr>
              <w:t xml:space="preserve">—</w:t>
            </w:r>
          </w:p>
        </w:tc>
      </w:tr>
      <w:tr>
        <w:tc>
          <w:tcPr/>
          <w:p>
            <w:pPr>
              <w:pStyle w:val="Compact"/>
              <w:spacing w:after="0" w:before="0"/>
              <w:jc w:val="left"/>
            </w:pPr>
            <w:r>
              <w:rPr>
                <w:i/>
                <w:iCs/>
                <w:sz w:val="20"/>
              </w:rPr>
              <w:t xml:space="preserve">V</w:t>
            </w:r>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w:t>
            </w:r>
            <w:r>
              <w:rPr>
                <w:sz w:val="20"/>
              </w:rPr>
              <w:t xml:space="preserve"> </w:t>
            </w:r>
            <m:oMath>
              <m:sSub>
                <m:e>
                  <m:r>
                    <m:t>θ</m:t>
                  </m:r>
                </m:e>
                <m:sub>
                  <m:r>
                    <m:t>0</m:t>
                  </m:r>
                </m:sub>
              </m:sSub>
            </m:oMath>
            <w:r>
              <w:rPr>
                <w:sz w:val="20"/>
              </w:rPr>
              <w:t xml:space="preserve"> </w:t>
            </w:r>
            <w:r>
              <w:rPr>
                <w:sz w:val="20"/>
              </w:rPr>
              <w:t xml:space="preserve">(H1, H4)</w:t>
            </w:r>
          </w:p>
        </w:tc>
        <w:tc>
          <w:tcPr/>
          <w:p>
            <w:pPr>
              <w:pStyle w:val="Compact"/>
              <w:spacing w:after="0" w:before="0"/>
              <w:jc w:val="left"/>
            </w:pPr>
            <w:r>
              <w:rPr>
                <w:sz w:val="20"/>
              </w:rPr>
              <w:t xml:space="preserve">Recusados × expirados, por faixa de valor</w:t>
            </w:r>
          </w:p>
        </w:tc>
        <w:tc>
          <w:tcPr/>
          <w:p>
            <w:pPr>
              <w:pStyle w:val="Compact"/>
              <w:spacing w:after="0" w:before="0"/>
              <w:jc w:val="left"/>
            </w:pPr>
            <w:r>
              <w:rPr>
                <w:sz w:val="20"/>
              </w:rPr>
              <w:t xml:space="preserve">As duas acima</w:t>
            </w:r>
          </w:p>
        </w:tc>
        <w:tc>
          <w:tcPr/>
          <w:p>
            <w:pPr>
              <w:pStyle w:val="Compact"/>
              <w:spacing w:after="0" w:before="0"/>
              <w:jc w:val="left"/>
            </w:pPr>
            <w:r>
              <w:rPr>
                <w:i/>
                <w:iCs/>
                <w:sz w:val="20"/>
              </w:rPr>
              <w:t xml:space="preserve">V</w:t>
            </w:r>
            <w:r>
              <w:rPr>
                <w:sz w:val="20"/>
              </w:rPr>
              <w:t xml:space="preserve"> </w:t>
            </w:r>
            <w:r>
              <w:rPr>
                <w:sz w:val="20"/>
              </w:rPr>
              <w:t xml:space="preserve">&gt; 0, maior nos pedidos grandes: a renúncia vai a quem menos depende dela</w:t>
            </w:r>
          </w:p>
        </w:tc>
      </w:tr>
      <w:tr>
        <w:tc>
          <w:tcPr/>
          <w:p>
            <w:pPr>
              <w:pStyle w:val="Compact"/>
              <w:spacing w:after="0" w:before="0"/>
              <w:jc w:val="left"/>
            </w:pPr>
            <w:r>
              <w:rPr>
                <w:sz w:val="20"/>
              </w:rPr>
              <w:t xml:space="preserve">EMPT na margem =</w:t>
            </w:r>
            <w:r>
              <w:rPr>
                <w:sz w:val="20"/>
              </w:rPr>
              <w:t xml:space="preserve"> </w:t>
            </w:r>
            <m:oMath>
              <m:sSub>
                <m:e>
                  <m:r>
                    <m:t>E</m:t>
                  </m:r>
                </m:e>
                <m:sub>
                  <m:r>
                    <m:t>11</m:t>
                  </m:r>
                </m:sub>
              </m:sSub>
            </m:oMath>
            <w:r>
              <w:rPr>
                <w:sz w:val="20"/>
              </w:rPr>
              <w:t xml:space="preserve"> </w:t>
            </w:r>
            <w:r>
              <w:rPr>
                <w:sz w:val="20"/>
              </w:rPr>
              <w:t xml:space="preserve">−</w:t>
            </w:r>
            <w:r>
              <w:rPr>
                <w:sz w:val="20"/>
              </w:rPr>
              <w:t xml:space="preserve"> </w:t>
            </w:r>
            <m:oMath>
              <m:sSub>
                <m:e>
                  <m:r>
                    <m:t>θ</m:t>
                  </m:r>
                </m:e>
                <m:sub>
                  <m:r>
                    <m:t>1</m:t>
                  </m:r>
                </m:sub>
              </m:sSub>
            </m:oMath>
            <w:r>
              <w:rPr>
                <w:sz w:val="20"/>
              </w:rPr>
              <w:t xml:space="preserve"> </w:t>
            </w:r>
            <w:r>
              <w:rPr>
                <w:sz w:val="20"/>
              </w:rPr>
              <w:t xml:space="preserve">(H5)</w:t>
            </w:r>
          </w:p>
        </w:tc>
        <w:tc>
          <w:tcPr/>
          <w:p>
            <w:pPr>
              <w:pStyle w:val="Compact"/>
              <w:spacing w:after="0" w:before="0"/>
              <w:jc w:val="left"/>
            </w:pPr>
            <w:r>
              <w:rPr>
                <w:sz w:val="20"/>
              </w:rPr>
              <w:t xml:space="preserve">Últimos validados de cada cota × recusados</w:t>
            </w:r>
          </w:p>
        </w:tc>
        <w:tc>
          <w:tcPr/>
          <w:p>
            <w:pPr>
              <w:pStyle w:val="Compact"/>
              <w:spacing w:after="0" w:before="0"/>
              <w:jc w:val="left"/>
            </w:pPr>
            <w:r>
              <w:rPr>
                <w:sz w:val="20"/>
              </w:rPr>
              <w:t xml:space="preserve">Idem</w:t>
            </w:r>
          </w:p>
        </w:tc>
        <w:tc>
          <w:tcPr/>
          <w:p>
            <w:pPr>
              <w:pStyle w:val="Compact"/>
              <w:spacing w:after="0" w:before="0"/>
              <w:jc w:val="left"/>
            </w:pPr>
            <w:r>
              <w:rPr>
                <w:sz w:val="20"/>
              </w:rPr>
              <w:t xml:space="preserve">EMPT próximo de zero: ampliar o teto financia o que ocorreria de todo modo</w:t>
            </w:r>
          </w:p>
        </w:tc>
      </w:tr>
      <w:tr>
        <w:tc>
          <w:tcPr/>
          <w:p>
            <w:pPr>
              <w:pStyle w:val="Compact"/>
              <w:spacing w:after="0" w:before="0"/>
              <w:jc w:val="left"/>
            </w:pPr>
            <w:r>
              <w:rPr>
                <w:sz w:val="20"/>
              </w:rPr>
              <w:t xml:space="preserve">Filtro da CAP (H2)</w:t>
            </w:r>
          </w:p>
        </w:tc>
        <w:tc>
          <w:tcPr/>
          <w:p>
            <w:pPr>
              <w:pStyle w:val="Compact"/>
              <w:spacing w:after="0" w:before="0"/>
              <w:jc w:val="left"/>
            </w:pPr>
            <w:r>
              <w:rPr>
                <w:sz w:val="20"/>
              </w:rPr>
              <w:t xml:space="preserve">Expirados × inabilitados</w:t>
            </w:r>
          </w:p>
        </w:tc>
        <w:tc>
          <w:tcPr/>
          <w:p>
            <w:pPr>
              <w:pStyle w:val="Compact"/>
              <w:spacing w:after="0" w:before="0"/>
              <w:jc w:val="left"/>
            </w:pPr>
            <w:r>
              <w:rPr>
                <w:sz w:val="20"/>
              </w:rPr>
              <w:t xml:space="preserve">Inabilitados sem patrocínio pela LICC</w:t>
            </w:r>
          </w:p>
        </w:tc>
        <w:tc>
          <w:tcPr/>
          <w:p>
            <w:pPr>
              <w:pStyle w:val="Compact"/>
              <w:spacing w:after="0" w:before="0"/>
              <w:jc w:val="left"/>
            </w:pPr>
            <w:r>
              <w:rPr>
                <w:sz w:val="20"/>
              </w:rPr>
              <w:t xml:space="preserve">Mesma realização: o filtro não separa necessidade de financiamento</w:t>
            </w:r>
          </w:p>
        </w:tc>
      </w:tr>
      <w:tr>
        <w:tc>
          <w:tcPr/>
          <w:p>
            <w:pPr>
              <w:pStyle w:val="Compact"/>
              <w:spacing w:after="0" w:before="0"/>
              <w:jc w:val="left"/>
            </w:pPr>
            <w:r>
              <w:rPr>
                <w:sz w:val="20"/>
              </w:rPr>
              <w:t xml:space="preserve">Substituição (lado da empresa)</w:t>
            </w:r>
          </w:p>
        </w:tc>
        <w:tc>
          <w:tcPr/>
          <w:p>
            <w:pPr>
              <w:pStyle w:val="Compact"/>
              <w:spacing w:after="0" w:before="0"/>
              <w:jc w:val="left"/>
            </w:pPr>
            <w:r>
              <w:rPr>
                <w:sz w:val="20"/>
              </w:rPr>
              <w:t xml:space="preserve">Recusados pagos pelo mesmo patrocinador fora da LICC</w:t>
            </w:r>
          </w:p>
        </w:tc>
        <w:tc>
          <w:tcPr/>
          <w:p>
            <w:pPr>
              <w:pStyle w:val="Compact"/>
              <w:spacing w:after="0" w:before="0"/>
              <w:jc w:val="left"/>
            </w:pPr>
            <w:r>
              <w:rPr>
                <w:sz w:val="20"/>
              </w:rPr>
              <w:t xml:space="preserve">Resposta do patrocinador</w:t>
            </w:r>
          </w:p>
        </w:tc>
        <w:tc>
          <w:tcPr/>
          <w:p>
            <w:pPr>
              <w:pStyle w:val="Compact"/>
              <w:spacing w:after="0" w:before="0"/>
              <w:jc w:val="left"/>
            </w:pPr>
            <w:r>
              <w:rPr>
                <w:sz w:val="20"/>
              </w:rPr>
              <w:t xml:space="preserve">Fração alta: o crédito paga patrocínio que ocorreria sem ele</w:t>
            </w:r>
          </w:p>
        </w:tc>
      </w:tr>
    </w:tbl>
    <w:p>
      <w:pPr>
        <w:pStyle w:val="BodyText"/>
      </w:pPr>
      <w:r>
        <w:rPr>
          <w:i/>
          <w:sz w:val="20"/>
        </w:rPr>
        <w:t>Fonte</w:t>
      </w:r>
      <w:r>
        <w:rPr>
          <w:sz w:val="20"/>
        </w:rPr>
        <w:t>: elaboração própria, com base em Foguel (</w:t>
      </w:r>
      <w:hyperlink w:anchor="ref-foguel-18">
        <w:r>
          <w:rPr>
            <w:rStyle w:val="Hyperlink"/>
          </w:rPr>
          <w:t xml:space="preserve">2017</w:t>
        </w:r>
      </w:hyperlink>
      <w:r>
        <w:rPr>
          <w:sz w:val="20"/>
        </w:rPr>
        <w:t xml:space="preserve">) e Gertler</w:t>
      </w:r>
      <w:r>
        <w:rPr>
          <w:sz w:val="20"/>
        </w:rPr>
        <w:t xml:space="preserve"> </w:t>
      </w:r>
      <w:r>
        <w:rPr>
          <w:i/>
          <w:iCs/>
          <w:sz w:val="20"/>
        </w:rPr>
        <w:t xml:space="preserve">et al.</w:t>
      </w:r>
      <w:r>
        <w:rPr>
          <w:sz w:val="20"/>
        </w:rPr>
        <w:t xml:space="preserve"> </w:t>
      </w:r>
      <w:r>
        <w:rPr>
          <w:sz w:val="20"/>
        </w:rPr>
        <w:t xml:space="preserve">(</w:t>
      </w:r>
      <w:hyperlink w:anchor="ref-gertler-20">
        <w:r>
          <w:rPr>
            <w:rStyle w:val="Hyperlink"/>
          </w:rPr>
          <w:t xml:space="preserve">2018</w:t>
        </w:r>
      </w:hyperlink>
      <w:r>
        <w:rPr>
          <w:sz w:val="20"/>
        </w:rPr>
        <w:t xml:space="preserve">).</w:t>
      </w:r>
    </w:p>
    <w:bookmarkEnd w:id="25"/>
    <w:bookmarkStart w:id="26" w:name="estratégia-de-identificação"/>
    <w:p>
      <w:pPr>
        <w:pStyle w:val="Heading2"/>
      </w:pPr>
      <w:r>
        <w:t xml:space="preserve">5.2 Estratégia de identificação</w:t>
      </w:r>
    </w:p>
    <w:p>
      <w:pPr>
        <w:pStyle w:val="FirstParagraph"/>
      </w:pPr>
      <w:r>
        <w:t xml:space="preserve">Nenhum grupo precisa ser criado: a regra atual já os produz, e falta acompanhá-los. 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 Os expirados, que nenhuma empresa escolheu, dão</w:t>
      </w:r>
      <w:r>
        <w:t xml:space="preserve"> </w:t>
      </w:r>
      <m:oMath>
        <m:sSub>
          <m:e>
            <m:r>
              <m:t>E</m:t>
            </m:r>
          </m:e>
          <m:sub>
            <m:r>
              <m:t>00</m:t>
            </m:r>
          </m:sub>
        </m:sSub>
      </m:oMath>
      <w:r>
        <w:t xml:space="preserve">. A comparação vale se, entre os escolhidos, a posição na fila não depende do que determina a realização, o que as horas de protocolo e validação (LAI) permitem testar, comparando recusados e últimos validados em valor, antiguidade do evento e recorrência. 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 O estimador é a diferença de proporções num modelo de probabilidade linear com efeitos fixos de ciclo e faixa de valor e erro-padrão robusto.</w:t>
      </w:r>
    </w:p>
    <w:p>
      <w:pPr>
        <w:pStyle w:val="BodyText"/>
      </w:pPr>
      <w:r>
        <w:t xml:space="preserve">O efeito na margem compara os últimos validados de cada cota com os recusados. É o efeito de receber agora, que já inclui o financiamento que o recusado obtém depois, sem precisar de instrumento, e vale para a margem da fila, não para a média dos escolhidos. 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 O filtro da CAP compara os expirados com os 86 inabilitados das atas. Do lado da empresa, a fração dos recusados que o mesmo patrocinador pagou fora da LICC mede o quanto o crédito substitui patrocínio próprio, o segundo risco da teoria da mudança.</w:t>
      </w:r>
    </w:p>
    <w:bookmarkEnd w:id="26"/>
    <w:bookmarkStart w:id="27" w:name="desenho-da-amostra-e-fontes-de-dados"/>
    <w:p>
      <w:pPr>
        <w:pStyle w:val="Heading2"/>
      </w:pPr>
      <w:r>
        <w:t xml:space="preserve">5.3 Desenho da amostra e fontes de dados</w:t>
      </w:r>
    </w:p>
    <w:p>
      <w:pPr>
        <w:pStyle w:val="FirstParagraph"/>
      </w:pP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 O resultado precisa ser medido do mesmo modo em todos eles, e o relatório de execução só existe para quem recebeu. Por isso</w:t>
      </w:r>
      <w:r>
        <w:t xml:space="preserve"> </w:t>
      </w:r>
      <w:r>
        <w:rPr>
          <w:i/>
          <w:iCs/>
        </w:rPr>
        <w:t xml:space="preserve">Y</w:t>
      </w:r>
      <w:r>
        <w:t xml:space="preserve"> </w:t>
      </w:r>
      <w:r>
        <w:t xml:space="preserve">vem de uma pesquisa de acompanhamento com os proponentes, conferida em registros que independem da LICC. A chave de ligação é o CNPJ do proponente: o Portal da Transparência o traz para quem captou (ESPÍRITO SANTO,</w:t>
      </w:r>
      <w:r>
        <w:t xml:space="preserve"> </w:t>
      </w:r>
      <w:hyperlink w:anchor="ref-espirito-14">
        <w:r>
          <w:rPr>
            <w:rStyle w:val="Hyperlink"/>
          </w:rPr>
          <w:t xml:space="preserve">2026a</w:t>
        </w:r>
      </w:hyperlink>
      <w:r>
        <w:t xml:space="preserve">), e os avisos de habilitação no Diário Oficial, para a maior parte dos demais (DIO-ES,</w:t>
      </w:r>
      <w:r>
        <w:t xml:space="preserve"> </w:t>
      </w:r>
      <w:hyperlink w:anchor="ref-dio-es-10">
        <w:r>
          <w:rPr>
            <w:rStyle w:val="Hyperlink"/>
          </w:rPr>
          <w:t xml:space="preserve">2026</w:t>
        </w:r>
      </w:hyperlink>
      <w:r>
        <w:t xml:space="preserve">);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059"/>
        <w:gridCol w:w="2930"/>
        <w:gridCol w:w="1742"/>
        <w:gridCol w:w="1188"/>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Anexos de habilitados e captados, com as versões antigas</w:t>
            </w:r>
          </w:p>
        </w:tc>
        <w:tc>
          <w:tcPr/>
          <w:p>
            <w:pPr>
              <w:pStyle w:val="Compact"/>
              <w:spacing w:after="0" w:before="0"/>
              <w:jc w:val="left"/>
            </w:pPr>
            <w:r>
              <w:rPr>
                <w:sz w:val="20"/>
              </w:rPr>
              <w:t xml:space="preserve">Status, valor e patrocinador; recusados por esgotamento (2023-2024)</w:t>
            </w:r>
          </w:p>
        </w:tc>
        <w:tc>
          <w:tcPr/>
          <w:p>
            <w:pPr>
              <w:pStyle w:val="Compact"/>
              <w:spacing w:after="0" w:before="0"/>
              <w:jc w:val="left"/>
            </w:pPr>
            <w:r>
              <w:rPr>
                <w:sz w:val="20"/>
              </w:rPr>
              <w:t xml:space="preserve">Grupos</w:t>
            </w:r>
            <w:r>
              <w:rPr>
                <w:sz w:val="20"/>
              </w:rPr>
              <w:t xml:space="preserve"> </w:t>
            </w:r>
            <m:oMath>
              <m:sSub>
                <m:e>
                  <m:r>
                    <m:t>θ</m:t>
                  </m:r>
                </m:e>
                <m:sub>
                  <m:r>
                    <m:t>1</m:t>
                  </m:r>
                </m:sub>
              </m:sSub>
            </m:oMath>
            <w:r>
              <w:rPr>
                <w:sz w:val="20"/>
              </w:rPr>
              <w:t xml:space="preserve"> </w:t>
            </w:r>
            <w:r>
              <w:rPr>
                <w:sz w:val="20"/>
              </w:rPr>
              <w:t xml:space="preserve">e</w:t>
            </w:r>
            <w:r>
              <w:rPr>
                <w:sz w:val="20"/>
              </w:rPr>
              <w:t xml:space="preserve"> </w:t>
            </w:r>
            <m:oMath>
              <m:sSub>
                <m:e>
                  <m:r>
                    <m:t>θ</m:t>
                  </m:r>
                </m:e>
                <m:sub>
                  <m:r>
                    <m:t>0</m:t>
                  </m:r>
                </m:sub>
              </m:sSub>
            </m:oMath>
            <w:r>
              <w:rPr>
                <w:sz w:val="20"/>
              </w:rPr>
              <w:t xml:space="preserve">; margem</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Extratos das atas da CAP</w:t>
            </w:r>
          </w:p>
        </w:tc>
        <w:tc>
          <w:tcPr/>
          <w:p>
            <w:pPr>
              <w:pStyle w:val="Compact"/>
              <w:spacing w:after="0" w:before="0"/>
              <w:jc w:val="left"/>
            </w:pPr>
            <w:r>
              <w:rPr>
                <w:sz w:val="20"/>
              </w:rPr>
              <w:t xml:space="preserve">Inabilitados de 2022 a 2026</w:t>
            </w:r>
          </w:p>
        </w:tc>
        <w:tc>
          <w:tcPr/>
          <w:p>
            <w:pPr>
              <w:pStyle w:val="Compact"/>
              <w:spacing w:after="0" w:before="0"/>
              <w:jc w:val="left"/>
            </w:pPr>
            <w:r>
              <w:rPr>
                <w:sz w:val="20"/>
              </w:rPr>
              <w:t xml:space="preserve">Filtro da CAP</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avisos do Diário Oficial</w:t>
            </w:r>
          </w:p>
        </w:tc>
        <w:tc>
          <w:tcPr/>
          <w:p>
            <w:pPr>
              <w:pStyle w:val="Compact"/>
              <w:spacing w:after="0" w:before="0"/>
              <w:jc w:val="left"/>
            </w:pPr>
            <w:r>
              <w:rPr>
                <w:sz w:val="20"/>
              </w:rPr>
              <w:t xml:space="preserve">Termos com CNPJ de proponente e patrocinador; habilitação e depósitos</w:t>
            </w:r>
          </w:p>
        </w:tc>
        <w:tc>
          <w:tcPr/>
          <w:p>
            <w:pPr>
              <w:pStyle w:val="Compact"/>
              <w:spacing w:after="0" w:before="0"/>
              <w:jc w:val="left"/>
            </w:pPr>
            <w:r>
              <w:rPr>
                <w:sz w:val="20"/>
              </w:rPr>
              <w:t xml:space="preserve">Chave de ligação; captação posterior</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e de validação, cota e recusados desde 2025</w:t>
            </w:r>
          </w:p>
        </w:tc>
        <w:tc>
          <w:tcPr/>
          <w:p>
            <w:pPr>
              <w:pStyle w:val="Compact"/>
              <w:spacing w:after="0" w:before="0"/>
              <w:jc w:val="left"/>
            </w:pPr>
            <w:r>
              <w:rPr>
                <w:sz w:val="20"/>
              </w:rPr>
              <w:t xml:space="preserve">Teste da fila; grupos de 2025 em diante</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Pesquisa de acompanhamento</w:t>
            </w:r>
          </w:p>
        </w:tc>
        <w:tc>
          <w:tcPr/>
          <w:p>
            <w:pPr>
              <w:pStyle w:val="Compact"/>
              <w:spacing w:after="0" w:before="0"/>
              <w:jc w:val="left"/>
            </w:pPr>
            <w:r>
              <w:rPr>
                <w:sz w:val="20"/>
              </w:rPr>
              <w:t xml:space="preserve">Realização, data, público e fonte de financiamento de cada projeto; patrocínio fora da LICC</w:t>
            </w:r>
          </w:p>
        </w:tc>
        <w:tc>
          <w:tcPr/>
          <w:p>
            <w:pPr>
              <w:pStyle w:val="Compact"/>
              <w:spacing w:after="0" w:before="0"/>
              <w:jc w:val="left"/>
            </w:pPr>
            <w:r>
              <w:rPr>
                <w:i/>
                <w:iCs/>
                <w:sz w:val="20"/>
              </w:rPr>
              <w:t xml:space="preserve">Y</w:t>
            </w:r>
            <w:r>
              <w:rPr>
                <w:sz w:val="20"/>
              </w:rPr>
              <w:t xml:space="preserve"> </w:t>
            </w:r>
            <w:r>
              <w:rPr>
                <w:sz w:val="20"/>
              </w:rPr>
              <w:t xml:space="preserve">em todos os grupos; substituição</w:t>
            </w:r>
          </w:p>
        </w:tc>
        <w:tc>
          <w:tcPr/>
          <w:p>
            <w:pPr>
              <w:pStyle w:val="Compact"/>
              <w:spacing w:after="0" w:before="0"/>
              <w:jc w:val="left"/>
            </w:pPr>
            <w:r>
              <w:rPr>
                <w:sz w:val="20"/>
              </w:rPr>
              <w:t xml:space="preserve">Coleta</w:t>
            </w:r>
          </w:p>
        </w:tc>
      </w:tr>
      <w:tr>
        <w:tc>
          <w:tcPr/>
          <w:p>
            <w:pPr>
              <w:pStyle w:val="Compact"/>
              <w:spacing w:after="0" w:before="0"/>
              <w:jc w:val="left"/>
            </w:pPr>
            <w:r>
              <w:rPr>
                <w:sz w:val="20"/>
              </w:rPr>
              <w:t xml:space="preserve">SALIC; agenda do Mapa Cultural; relatórios de execução</w:t>
            </w:r>
          </w:p>
        </w:tc>
        <w:tc>
          <w:tcPr/>
          <w:p>
            <w:pPr>
              <w:pStyle w:val="Compact"/>
              <w:spacing w:after="0" w:before="0"/>
              <w:jc w:val="left"/>
            </w:pPr>
            <w:r>
              <w:rPr>
                <w:sz w:val="20"/>
              </w:rPr>
              <w:t xml:space="preserve">Captação pela Lei Rouanet; eventos datados; realização e público dos financiados</w:t>
            </w:r>
          </w:p>
        </w:tc>
        <w:tc>
          <w:tcPr/>
          <w:p>
            <w:pPr>
              <w:pStyle w:val="Compact"/>
              <w:spacing w:after="0" w:before="0"/>
              <w:jc w:val="left"/>
            </w:pPr>
            <w:r>
              <w:rPr>
                <w:sz w:val="20"/>
              </w:rPr>
              <w:t xml:space="preserve">Conferência de</w:t>
            </w:r>
            <w:r>
              <w:rPr>
                <w:sz w:val="20"/>
              </w:rPr>
              <w:t xml:space="preserve"> </w:t>
            </w:r>
            <w:r>
              <w:rPr>
                <w:i/>
                <w:iCs/>
                <w:sz w:val="20"/>
              </w:rPr>
              <w:t xml:space="preserve">Y</w:t>
            </w:r>
          </w:p>
        </w:tc>
        <w:tc>
          <w:tcPr/>
          <w:p>
            <w:pPr>
              <w:pStyle w:val="Compact"/>
              <w:spacing w:after="0" w:before="0"/>
              <w:jc w:val="left"/>
            </w:pPr>
            <w:r>
              <w:rPr>
                <w:sz w:val="20"/>
              </w:rPr>
              <w:t xml:space="preserve">Público; LAI</w:t>
            </w:r>
          </w:p>
        </w:tc>
      </w:tr>
    </w:tbl>
    <w:p>
      <w:pPr>
        <w:pStyle w:val="BodyText"/>
      </w:pPr>
      <w:r>
        <w:rPr>
          <w:i/>
          <w:sz w:val="20"/>
        </w:rPr>
        <w:t>Fonte</w:t>
      </w:r>
      <w:r>
        <w:rPr>
          <w:sz w:val="20"/>
        </w:rPr>
        <w:t>: elaboração própria.</w:t>
      </w:r>
    </w:p>
    <w:bookmarkEnd w:id="27"/>
    <w:bookmarkStart w:id="29" w:name="cálculo-do-poder-estatístico"/>
    <w:p>
      <w:pPr>
        <w:pStyle w:val="Heading2"/>
      </w:pPr>
      <w:r>
        <w:t xml:space="preserve">5.4 Cálculo do poder estatístico</w:t>
      </w:r>
    </w:p>
    <w:p>
      <w:pPr>
        <w:pStyle w:val="FirstParagraph"/>
      </w:pPr>
      <w:r>
        <w:t xml:space="preserve">Para comparar a proporção de projetos realizados entre dois grupos independentes,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sSub>
                <m:e>
                  <m:r>
                    <m:t>p</m:t>
                  </m:r>
                </m:e>
                <m:sub>
                  <m:r>
                    <m:t>0</m:t>
                  </m:r>
                </m:sub>
              </m:sSub>
              <m:r>
                <m:rPr>
                  <m:sty m:val="p"/>
                </m:rPr>
                <m:t>(</m:t>
              </m:r>
              <m:r>
                <m:t>1</m:t>
              </m:r>
              <m:r>
                <m:rPr>
                  <m:sty m:val="p"/>
                </m:rPr>
                <m:t>−</m:t>
              </m:r>
              <m:sSub>
                <m:e>
                  <m:r>
                    <m:t>p</m:t>
                  </m:r>
                </m:e>
                <m:sub>
                  <m:r>
                    <m:t>0</m:t>
                  </m:r>
                </m:sub>
              </m:sSub>
              <m:r>
                <m:rPr>
                  <m:sty m:val="p"/>
                </m:rPr>
                <m:t>)</m:t>
              </m:r>
              <m:d>
                <m:dPr>
                  <m:begChr m:val="("/>
                  <m:sepChr m:val=""/>
                  <m:endChr m:val=")"/>
                  <m:grow/>
                </m:dPr>
                <m:e>
                  <m:f>
                    <m:fPr>
                      <m:type m:val="bar"/>
                    </m:fPr>
                    <m:num>
                      <m:r>
                        <m:t>1</m:t>
                      </m:r>
                    </m:num>
                    <m:den>
                      <m:sSub>
                        <m:e>
                          <m:r>
                            <m:t>n</m:t>
                          </m:r>
                        </m:e>
                        <m:sub>
                          <m:r>
                            <m:t>1</m:t>
                          </m:r>
                        </m:sub>
                      </m:sSub>
                    </m:den>
                  </m:f>
                  <m:r>
                    <m:rPr>
                      <m:sty m:val="p"/>
                    </m:rPr>
                    <m:t>+</m:t>
                  </m:r>
                  <m:f>
                    <m:fPr>
                      <m:type m:val="bar"/>
                    </m:fPr>
                    <m:num>
                      <m:r>
                        <m:t>1</m:t>
                      </m:r>
                    </m:num>
                    <m:den>
                      <m:sSub>
                        <m:e>
                          <m:r>
                            <m:t>n</m:t>
                          </m:r>
                        </m:e>
                        <m:sub>
                          <m:r>
                            <m:t>0</m:t>
                          </m:r>
                        </m:sub>
                      </m:sSub>
                    </m:den>
                  </m:f>
                </m:e>
              </m:d>
            </m:e>
          </m:rad>
          <m:r>
            <m:rPr>
              <m:sty m:val="p"/>
            </m:rPr>
            <m:t>.</m:t>
          </m:r>
        </m:oMath>
      </m:oMathPara>
    </w:p>
    <w:p>
      <w:pPr>
        <w:pStyle w:val="FirstParagraph"/>
      </w:pPr>
      <w:r>
        <w:t xml:space="preserve">A fórmula segue Djimeu e Houndolo (</w:t>
      </w:r>
      <w:hyperlink w:anchor="ref-djimeu-11">
        <w:r>
          <w:rPr>
            <w:rStyle w:val="Hyperlink"/>
          </w:rPr>
          <w:t xml:space="preserve">2016</w:t>
        </w:r>
      </w:hyperlink>
      <w:r>
        <w:t xml:space="preserve">), com α = 5% bicaudal e poder de 80%. 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BodyText"/>
        <w:keepNext/>
      </w:pPr>
      <m:oMath>
        <m:sSub>
          <m:e>
            <m:r>
              <m:t>p</m:t>
            </m:r>
          </m:e>
          <m:sub>
            <m:r>
              <m:t>0</m:t>
            </m:r>
          </m:sub>
        </m:sSub>
      </m:oMath>
      <w:r>
        <w:rPr>
          <w:b/>
        </w:rPr>
        <w:t>Tabela 2</w:t>
      </w:r>
      <w:r>
        <w:rPr>
          <w:b w:val="0"/>
        </w:rPr>
        <w:t xml:space="preserve"> – Efeito mínimo detectável por contraste (pontos percentuais;  de 0,3 a 0,7)</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217"/>
        <w:gridCol w:w="3880"/>
        <w:gridCol w:w="950"/>
        <w:gridCol w:w="871"/>
      </w:tblGrid>
      <w:tr>
        <w:trPr>
          <w:tblHeader w:val="on"/>
          <w:tblHeader w:val="true"/>
        </w:trPr>
        <w:tc>
          <w:tcPr>
            <w:tcBorders>
              <w:bottom w:val="single" w:sz="4" w:space="0" w:color="000000"/>
            </w:tcBorders>
          </w:tcPr>
          <w:p>
            <w:pPr>
              <w:pStyle w:val="Compact"/>
              <w:keepNext/>
              <w:spacing w:after="0" w:before="0"/>
              <w:jc w:val="left"/>
            </w:pPr>
            <w:r>
              <w:rPr>
                <w:sz w:val="20"/>
              </w:rPr>
              <w:t xml:space="preserve">Contraste</w:t>
            </w:r>
          </w:p>
        </w:tc>
        <w:tc>
          <w:tcPr>
            <w:tcBorders>
              <w:bottom w:val="single" w:sz="4" w:space="0" w:color="000000"/>
            </w:tcBorders>
          </w:tcPr>
          <w:p>
            <w:pPr>
              <w:pStyle w:val="Compact"/>
              <w:keepNext/>
              <w:spacing w:after="0" w:before="0"/>
              <w:jc w:val="left"/>
            </w:pPr>
            <w:r>
              <w:rPr>
                <w:sz w:val="20"/>
              </w:rPr>
              <w:t xml:space="preserve">Grupos</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i/>
                <w:iCs/>
                <w:sz w:val="20"/>
              </w:rPr>
              <w:t xml:space="preserve">V</w:t>
            </w:r>
            <w:r>
              <w:rPr>
                <w:sz w:val="20"/>
              </w:rPr>
              <w:t xml:space="preserve">: recusados × expirados</w:t>
            </w:r>
          </w:p>
        </w:tc>
        <w:tc>
          <w:tcPr/>
          <w:p>
            <w:pPr>
              <w:pStyle w:val="Compact"/>
              <w:keepNext/>
              <w:spacing w:after="0" w:before="0"/>
              <w:jc w:val="left"/>
            </w:pPr>
            <w:r>
              <w:rPr>
                <w:sz w:val="20"/>
              </w:rPr>
              <w:t xml:space="preserve">recusados de 2023-2024; expirados de 2022-2024</w:t>
            </w:r>
          </w:p>
        </w:tc>
        <w:tc>
          <w:tcPr/>
          <w:p>
            <w:pPr>
              <w:pStyle w:val="Compact"/>
              <w:keepNext/>
              <w:spacing w:after="0" w:before="0"/>
              <w:jc w:val="left"/>
            </w:pPr>
            <w:r>
              <w:rPr>
                <w:sz w:val="20"/>
              </w:rPr>
              <w:t xml:space="preserve">32 × 95</w:t>
            </w:r>
          </w:p>
        </w:tc>
        <w:tc>
          <w:tcPr/>
          <w:p>
            <w:pPr>
              <w:pStyle w:val="Compact"/>
              <w:keepNext/>
              <w:spacing w:after="0" w:before="0"/>
              <w:jc w:val="left"/>
            </w:pPr>
            <w:r>
              <w:rPr>
                <w:sz w:val="20"/>
              </w:rPr>
              <w:t xml:space="preserve">26 a 29</w:t>
            </w:r>
          </w:p>
        </w:tc>
      </w:tr>
      <w:tr>
        <w:tc>
          <w:tcPr/>
          <w:p>
            <w:pPr>
              <w:pStyle w:val="Compact"/>
              <w:keepNext/>
              <w:spacing w:after="0" w:before="0"/>
              <w:jc w:val="left"/>
            </w:pPr>
            <m:oMath>
              <m:sSub>
                <m:e>
                  <m:r>
                    <m:t>θ</m:t>
                  </m:r>
                </m:e>
                <m:sub>
                  <m:r>
                    <m:t>0</m:t>
                  </m:r>
                </m:sub>
              </m:sSub>
            </m:oMath>
            <w:r>
              <w:rPr>
                <w:sz w:val="20"/>
              </w:rPr>
              <w:t xml:space="preserve"> </w:t>
            </w:r>
            <w:r>
              <w:rPr>
                <w:sz w:val="20"/>
              </w:rPr>
              <w:t xml:space="preserve">por faixa de valor</w:t>
            </w:r>
          </w:p>
        </w:tc>
        <w:tc>
          <w:tcPr/>
          <w:p>
            <w:pPr>
              <w:pStyle w:val="Compact"/>
              <w:keepNext/>
              <w:spacing w:after="0" w:before="0"/>
              <w:jc w:val="left"/>
            </w:pPr>
            <w:r>
              <w:rPr>
                <w:sz w:val="20"/>
              </w:rPr>
              <w:t xml:space="preserve">expirados até R$ 400 mil × acima</w:t>
            </w:r>
          </w:p>
        </w:tc>
        <w:tc>
          <w:tcPr/>
          <w:p>
            <w:pPr>
              <w:pStyle w:val="Compact"/>
              <w:keepNext/>
              <w:spacing w:after="0" w:before="0"/>
              <w:jc w:val="left"/>
            </w:pPr>
            <w:r>
              <w:rPr>
                <w:sz w:val="20"/>
              </w:rPr>
              <w:t xml:space="preserve">58 × 37</w:t>
            </w:r>
          </w:p>
        </w:tc>
        <w:tc>
          <w:tcPr/>
          <w:p>
            <w:pPr>
              <w:pStyle w:val="Compact"/>
              <w:keepNext/>
              <w:spacing w:after="0" w:before="0"/>
              <w:jc w:val="left"/>
            </w:pPr>
            <w:r>
              <w:rPr>
                <w:sz w:val="20"/>
              </w:rPr>
              <w:t xml:space="preserve">27 a 29</w:t>
            </w:r>
          </w:p>
        </w:tc>
      </w:tr>
      <w:tr>
        <w:tc>
          <w:tcPr/>
          <w:p>
            <w:pPr>
              <w:pStyle w:val="Compact"/>
              <w:keepNext/>
              <w:spacing w:after="0" w:before="0"/>
              <w:jc w:val="left"/>
            </w:pPr>
            <w:r>
              <w:rPr>
                <w:sz w:val="20"/>
              </w:rPr>
              <w:t xml:space="preserve">Filtro da CAP</w:t>
            </w:r>
          </w:p>
        </w:tc>
        <w:tc>
          <w:tcPr/>
          <w:p>
            <w:pPr>
              <w:pStyle w:val="Compact"/>
              <w:keepNext/>
              <w:spacing w:after="0" w:before="0"/>
              <w:jc w:val="left"/>
            </w:pPr>
            <w:r>
              <w:rPr>
                <w:sz w:val="20"/>
              </w:rPr>
              <w:t xml:space="preserve">expirados × inabilitados</w:t>
            </w:r>
          </w:p>
        </w:tc>
        <w:tc>
          <w:tcPr/>
          <w:p>
            <w:pPr>
              <w:pStyle w:val="Compact"/>
              <w:keepNext/>
              <w:spacing w:after="0" w:before="0"/>
              <w:jc w:val="left"/>
            </w:pPr>
            <w:r>
              <w:rPr>
                <w:sz w:val="20"/>
              </w:rPr>
              <w:t xml:space="preserve">95 × 86</w:t>
            </w:r>
          </w:p>
        </w:tc>
        <w:tc>
          <w:tcPr/>
          <w:p>
            <w:pPr>
              <w:pStyle w:val="Compact"/>
              <w:keepNext/>
              <w:spacing w:after="0" w:before="0"/>
              <w:jc w:val="left"/>
            </w:pPr>
            <w:r>
              <w:rPr>
                <w:sz w:val="20"/>
              </w:rPr>
              <w:t xml:space="preserve">19 a 21</w:t>
            </w:r>
          </w:p>
        </w:tc>
      </w:tr>
      <w:tr>
        <w:tc>
          <w:tcPr/>
          <w:p>
            <w:pPr>
              <w:pStyle w:val="Compact"/>
              <w:keepNext/>
              <w:spacing w:after="0" w:before="0"/>
              <w:jc w:val="left"/>
            </w:pPr>
            <w:r>
              <w:rPr>
                <w:sz w:val="20"/>
              </w:rPr>
              <w:t xml:space="preserve">EMPT na margem</w:t>
            </w:r>
          </w:p>
        </w:tc>
        <w:tc>
          <w:tcPr/>
          <w:p>
            <w:pPr>
              <w:pStyle w:val="Compact"/>
              <w:keepNext/>
              <w:spacing w:after="0" w:before="0"/>
              <w:jc w:val="left"/>
            </w:pPr>
            <w:r>
              <w:rPr>
                <w:sz w:val="20"/>
              </w:rPr>
              <w:t xml:space="preserve">últimos validados × recusados</w:t>
            </w:r>
          </w:p>
        </w:tc>
        <w:tc>
          <w:tcPr/>
          <w:p>
            <w:pPr>
              <w:pStyle w:val="Compact"/>
              <w:keepNext/>
              <w:spacing w:after="0" w:before="0"/>
              <w:jc w:val="left"/>
            </w:pPr>
            <w:r>
              <w:rPr>
                <w:sz w:val="20"/>
              </w:rPr>
              <w:t xml:space="preserve">32 × 32</w:t>
            </w:r>
          </w:p>
        </w:tc>
        <w:tc>
          <w:tcPr/>
          <w:p>
            <w:pPr>
              <w:pStyle w:val="Compact"/>
              <w:keepNext/>
              <w:spacing w:after="0" w:before="0"/>
              <w:jc w:val="left"/>
            </w:pPr>
            <w:r>
              <w:rPr>
                <w:sz w:val="20"/>
              </w:rPr>
              <w:t xml:space="preserve">32 a 35</w:t>
            </w:r>
          </w:p>
        </w:tc>
      </w:tr>
      <w:tr>
        <w:tc>
          <w:tcPr/>
          <w:p>
            <w:pPr>
              <w:pStyle w:val="Compact"/>
              <w:keepNext/>
              <w:spacing w:after="0" w:before="0"/>
              <w:jc w:val="left"/>
            </w:pPr>
            <w:r>
              <w:rPr>
                <w:sz w:val="20"/>
              </w:rPr>
              <w:t xml:space="preserve">Ampliação do teto em 2024</w:t>
            </w:r>
          </w:p>
        </w:tc>
        <w:tc>
          <w:tcPr/>
          <w:p>
            <w:pPr>
              <w:pStyle w:val="Compact"/>
              <w:keepNext/>
              <w:spacing w:after="0" w:before="0"/>
              <w:jc w:val="left"/>
            </w:pPr>
            <w:r>
              <w:rPr>
                <w:sz w:val="20"/>
              </w:rPr>
              <w:t xml:space="preserve">recusas convertidas × mantidas</w:t>
            </w:r>
          </w:p>
        </w:tc>
        <w:tc>
          <w:tcPr/>
          <w:p>
            <w:pPr>
              <w:pStyle w:val="Compact"/>
              <w:keepNext/>
              <w:spacing w:after="0" w:before="0"/>
              <w:jc w:val="left"/>
            </w:pPr>
            <w:r>
              <w:rPr>
                <w:sz w:val="20"/>
              </w:rPr>
              <w:t xml:space="preserve">27 × 20</w:t>
            </w:r>
          </w:p>
        </w:tc>
        <w:tc>
          <w:tcPr/>
          <w:p>
            <w:pPr>
              <w:pStyle w:val="Compact"/>
              <w:keepNext/>
              <w:spacing w:after="0" w:before="0"/>
              <w:jc w:val="left"/>
            </w:pPr>
            <w:r>
              <w:rPr>
                <w:sz w:val="20"/>
              </w:rPr>
              <w:t xml:space="preserve">38 a 41</w:t>
            </w:r>
          </w:p>
        </w:tc>
      </w:tr>
      <w:tr>
        <w:tc>
          <w:tcPr/>
          <w:p>
            <w:pPr>
              <w:pStyle w:val="Compact"/>
              <w:spacing w:after="0" w:before="0"/>
              <w:jc w:val="left"/>
            </w:pPr>
            <w:r>
              <w:rPr>
                <w:i/>
                <w:iCs/>
                <w:sz w:val="20"/>
              </w:rPr>
              <w:t xml:space="preserve">V</w:t>
            </w:r>
            <w:r>
              <w:rPr>
                <w:sz w:val="20"/>
              </w:rPr>
              <w:t xml:space="preserve">, com mais quatro ciclos</w:t>
            </w:r>
          </w:p>
        </w:tc>
        <w:tc>
          <w:tcPr/>
          <w:p>
            <w:pPr>
              <w:pStyle w:val="Compact"/>
              <w:spacing w:after="0" w:before="0"/>
              <w:jc w:val="left"/>
            </w:pPr>
            <w:r>
              <w:rPr>
                <w:sz w:val="20"/>
              </w:rPr>
              <w:t xml:space="preserve">recusados × expirados acumulados</w:t>
            </w:r>
          </w:p>
        </w:tc>
        <w:tc>
          <w:tcPr/>
          <w:p>
            <w:pPr>
              <w:pStyle w:val="Compact"/>
              <w:spacing w:after="0" w:before="0"/>
              <w:jc w:val="left"/>
            </w:pPr>
            <w:r>
              <w:rPr>
                <w:sz w:val="20"/>
              </w:rPr>
              <w:t xml:space="preserve">96 × 222</w:t>
            </w:r>
          </w:p>
        </w:tc>
        <w:tc>
          <w:tcPr/>
          <w:p>
            <w:pPr>
              <w:pStyle w:val="Compact"/>
              <w:spacing w:after="0" w:before="0"/>
              <w:jc w:val="left"/>
            </w:pPr>
            <w:r>
              <w:rPr>
                <w:sz w:val="20"/>
              </w:rPr>
              <w:t xml:space="preserve">16 a 17</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analise/tabelas/23_poder_secao5.csv</w:t>
        </w:r>
      </w:hyperlink>
      <w:r>
        <w:rPr>
          <w:sz w:val="20"/>
        </w:rPr>
        <w:t xml:space="preserve">.</w:t>
      </w:r>
    </w:p>
    <w:p>
      <w:pPr>
        <w:pStyle w:val="BodyText"/>
      </w:pPr>
      <w:r>
        <w:t xml:space="preserve">Com os dados de hoje, o contraste principal só detecta diferenças de 26 a 29 pontos: basta para rejeitar a ausência de seleção se ela for forte, como sugere a queda da captação dos pedidos pequenos, mas não para medir seu tamanho. Com mais quatro ciclos no ritmo de 2022-2024, o EMD cai para 16 a 17 pontos. Comparar recusados pequenos e grandes continua exploratório: com mais quatro ciclos, detecta só 28 a 30 pontos. Com poder baixo, uma estimativa</w:t>
      </w:r>
      <w:r>
        <w:t xml:space="preserve"> </w:t>
      </w:r>
      <w:r>
        <w:t xml:space="preserve">“significativa”</w:t>
      </w:r>
      <w:r>
        <w:t xml:space="preserve"> </w:t>
      </w:r>
      <w:r>
        <w:t xml:space="preserve">tende a exagerar o efeito verdadeiro (GELMAN; CARLIN,</w:t>
      </w:r>
      <w:r>
        <w:t xml:space="preserve"> </w:t>
      </w:r>
      <w:hyperlink w:anchor="ref-gelman-19">
        <w:r>
          <w:rPr>
            <w:rStyle w:val="Hyperlink"/>
          </w:rPr>
          <w:t xml:space="preserve">2014</w:t>
        </w:r>
      </w:hyperlink>
      <w:r>
        <w:t xml:space="preserve">), o que recomenda pré-registrar a análise.</w:t>
      </w:r>
    </w:p>
    <w:bookmarkEnd w:id="29"/>
    <w:bookmarkStart w:id="30" w:name="ameaças-à-validade-e-ética"/>
    <w:p>
      <w:pPr>
        <w:pStyle w:val="Heading2"/>
      </w:pPr>
      <w:r>
        <w:t xml:space="preserve">5.5 Ameaças à validade e ética</w:t>
      </w:r>
    </w:p>
    <w:p>
      <w:pPr>
        <w:pStyle w:val="FirstParagraph"/>
      </w:pP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r>
        <w:t xml:space="preserve"> </w:t>
      </w:r>
      <w:r>
        <w:rPr>
          <w:i/>
          <w:iCs/>
        </w:rPr>
        <w:t xml:space="preserve">V</w:t>
      </w:r>
      <w:r>
        <w:t xml:space="preserve"> </w:t>
      </w:r>
      <w:r>
        <w:t xml:space="preserve">e o efeito na margem valem para os escolhidos na margem da fila, e não para todos. 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 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 No plano ético, a avaliação não nega nem adia acesso a ninguém, porque só acompanha grupos que a regra já produz. Dados identificados exigem anonimização (LGPD), e pesquisas com pessoas, aprovação de comitê de ética.</w:t>
      </w:r>
    </w:p>
    <w:bookmarkEnd w:id="30"/>
    <w:bookmarkEnd w:id="31"/>
    <w:bookmarkStart w:id="32" w:name="conclusão"/>
    <w:p>
      <w:pPr>
        <w:pStyle w:val="Heading1"/>
      </w:pPr>
      <w:r>
        <w:t xml:space="preserve">6 Conclusão</w:t>
      </w:r>
    </w:p>
    <w:p>
      <w:pPr>
        <w:pStyle w:val="FirstParagraph"/>
      </w:pP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entrega dos projetos, sede e motivo de inabilitação; a captação por cota; a fila de termos, com datas de protocolo e validação, também dos recusados; e custos, contrapartidas e público alcançado.</w:t>
      </w:r>
    </w:p>
    <w:p>
      <w:pPr>
        <w:pStyle w:val="BodyText"/>
      </w:pPr>
      <w:r>
        <w:t xml:space="preserve">A pergunta de impacto é se a renúncia vai para os projetos que dependem dela. Os grupos para respondê-la já existem pela regra atual, recusados por esgotamento da cota, habilitados sem patrocinador e inabilitados, e falta medir do mesmo modo, em todos, se os projetos se realizaram. Mais da metade dos recusados por falta de teto captou no ano seguinte, e a captação dos pedidos pequenos caiu a cada ciclo: se a seleção do mecanismo for positiva e maior nos pedidos grandes, a renúncia vai a quem menos depende dela; se, além disso, o efeito na margem da fila for próximo de zero, ampliar o teto financia o que ocorreria de todo modo, e o valor público da LICC passa a depender menos do tamanho do teto que da regra que define quais projetos recebem a renúncia e do que se exige e se verifica na entrega.</w:t>
      </w:r>
    </w:p>
    <w:bookmarkEnd w:id="32"/>
    <w:bookmarkStart w:id="94" w:name="referências"/>
    <w:p>
      <w:pPr>
        <w:pStyle w:val="Heading1"/>
      </w:pPr>
      <w:r>
        <w:t xml:space="preserve">Referências</w:t>
      </w:r>
    </w:p>
    <w:p>
      <w:pPr>
        <w:pStyle w:val="FirstParagraph"/>
      </w:pPr>
      <w:bookmarkStart w:id="33" w:name="ref-barros-1"/>
      <w:bookmarkEnd w:id="33"/>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bookmarkStart w:id="34" w:name="ref-belem-2"/>
      <w:bookmarkEnd w:id="34"/>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bookmarkStart w:id="35" w:name="ref-bertrand-3"/>
      <w:bookmarkEnd w:id="35"/>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36">
        <w:r>
          <w:rPr>
            <w:rStyle w:val="Hyperlink"/>
          </w:rPr>
          <w:t xml:space="preserve">10.1257/aer.20180615</w:t>
        </w:r>
      </w:hyperlink>
      <w:r>
        <w:t xml:space="preserve">.</w:t>
      </w:r>
    </w:p>
    <w:p>
      <w:pPr>
        <w:pStyle w:val="BodyText"/>
      </w:pPr>
      <w:bookmarkStart w:id="37" w:name="ref-brasil-4"/>
      <w:bookmarkEnd w:id="37"/>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bookmarkStart w:id="38" w:name="ref-brasil-5"/>
      <w:bookmarkEnd w:id="38"/>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bookmarkStart w:id="39" w:name="ref-brasil-6"/>
      <w:bookmarkEnd w:id="39"/>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bookmarkStart w:id="40" w:name="ref-buterin-7"/>
      <w:bookmarkEnd w:id="40"/>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41">
        <w:r>
          <w:rPr>
            <w:rStyle w:val="Hyperlink"/>
          </w:rPr>
          <w:t xml:space="preserve">10.1287/mnsc.2019.3337</w:t>
        </w:r>
      </w:hyperlink>
      <w:r>
        <w:t xml:space="preserve">.</w:t>
      </w:r>
    </w:p>
    <w:p>
      <w:pPr>
        <w:pStyle w:val="BodyText"/>
      </w:pPr>
      <w:bookmarkStart w:id="42" w:name="ref-costa-8"/>
      <w:bookmarkEnd w:id="42"/>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3">
        <w:r>
          <w:rPr>
            <w:rStyle w:val="Hyperlink"/>
          </w:rPr>
          <w:t xml:space="preserve">10.1590/0034-7612162254</w:t>
        </w:r>
      </w:hyperlink>
      <w:r>
        <w:t xml:space="preserve">.</w:t>
      </w:r>
    </w:p>
    <w:p>
      <w:pPr>
        <w:pStyle w:val="BodyText"/>
      </w:pPr>
      <w:bookmarkStart w:id="44" w:name="ref-dekker-9"/>
      <w:bookmarkEnd w:id="44"/>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5">
        <w:r>
          <w:rPr>
            <w:rStyle w:val="Hyperlink"/>
          </w:rPr>
          <w:t xml:space="preserve">10.1332/251569119X15675896589688</w:t>
        </w:r>
      </w:hyperlink>
      <w:r>
        <w:t xml:space="preserve">.</w:t>
      </w:r>
    </w:p>
    <w:p>
      <w:pPr>
        <w:pStyle w:val="BodyText"/>
      </w:pPr>
      <w:bookmarkStart w:id="46" w:name="ref-dio-es-10"/>
      <w:bookmarkEnd w:id="46"/>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bookmarkStart w:id="47" w:name="ref-djimeu-11"/>
      <w:bookmarkEnd w:id="47"/>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8">
        <w:r>
          <w:rPr>
            <w:rStyle w:val="Hyperlink"/>
          </w:rPr>
          <w:t xml:space="preserve">10.1080/19439342.2016.1244555</w:t>
        </w:r>
      </w:hyperlink>
      <w:r>
        <w:t xml:space="preserve">.</w:t>
      </w:r>
    </w:p>
    <w:p>
      <w:pPr>
        <w:pStyle w:val="BodyText"/>
      </w:pPr>
      <w:bookmarkStart w:id="49" w:name="ref-espirito-12"/>
      <w:bookmarkEnd w:id="49"/>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bookmarkStart w:id="50" w:name="ref-espirito-13"/>
      <w:bookmarkEnd w:id="50"/>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bookmarkStart w:id="51" w:name="ref-espirito-14"/>
      <w:bookmarkEnd w:id="51"/>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BodyText"/>
      </w:pPr>
      <w:bookmarkStart w:id="52" w:name="ref-espirito-15"/>
      <w:bookmarkEnd w:id="52"/>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BodyText"/>
      </w:pPr>
      <w:bookmarkStart w:id="53" w:name="ref-feld-16"/>
      <w:bookmarkEnd w:id="53"/>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bookmarkStart w:id="54" w:name="ref-finkelstein-17"/>
      <w:bookmarkEnd w:id="54"/>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55">
        <w:r>
          <w:rPr>
            <w:rStyle w:val="Hyperlink"/>
          </w:rPr>
          <w:t xml:space="preserve">10.1093/qje/qjz013</w:t>
        </w:r>
      </w:hyperlink>
      <w:r>
        <w:t xml:space="preserve">.</w:t>
      </w:r>
    </w:p>
    <w:p>
      <w:pPr>
        <w:pStyle w:val="BodyText"/>
      </w:pPr>
      <w:bookmarkStart w:id="56" w:name="ref-foguel-18"/>
      <w:bookmarkEnd w:id="56"/>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BodyText"/>
      </w:pPr>
      <w:bookmarkStart w:id="57" w:name="ref-gelman-19"/>
      <w:bookmarkEnd w:id="57"/>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58">
        <w:r>
          <w:rPr>
            <w:rStyle w:val="Hyperlink"/>
          </w:rPr>
          <w:t xml:space="preserve">10.1177/1745691614551642</w:t>
        </w:r>
      </w:hyperlink>
      <w:r>
        <w:t xml:space="preserve">.</w:t>
      </w:r>
    </w:p>
    <w:p>
      <w:pPr>
        <w:pStyle w:val="BodyText"/>
      </w:pPr>
      <w:bookmarkStart w:id="59" w:name="ref-gertler-20"/>
      <w:bookmarkEnd w:id="59"/>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bookmarkStart w:id="60" w:name="ref-hitzig-21"/>
      <w:bookmarkEnd w:id="60"/>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bookmarkStart w:id="61" w:name="ref-ibge-22"/>
      <w:bookmarkEnd w:id="61"/>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bookmarkStart w:id="62" w:name="ref-ibge-23"/>
      <w:bookmarkEnd w:id="62"/>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bookmarkStart w:id="63" w:name="ref-ijsn-24"/>
      <w:bookmarkEnd w:id="63"/>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BodyText"/>
      </w:pPr>
      <w:bookmarkStart w:id="64" w:name="ref-mayne-25"/>
      <w:bookmarkEnd w:id="64"/>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65">
        <w:r>
          <w:rPr>
            <w:rStyle w:val="Hyperlink"/>
          </w:rPr>
          <w:t xml:space="preserve">10.3138/cjpe.230</w:t>
        </w:r>
      </w:hyperlink>
      <w:r>
        <w:t xml:space="preserve">.</w:t>
      </w:r>
    </w:p>
    <w:p>
      <w:pPr>
        <w:pStyle w:val="BodyText"/>
      </w:pPr>
      <w:bookmarkStart w:id="66" w:name="ref-moynihan-26"/>
      <w:bookmarkEnd w:id="66"/>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67">
        <w:r>
          <w:rPr>
            <w:rStyle w:val="Hyperlink"/>
          </w:rPr>
          <w:t xml:space="preserve">10.1093/jopart/muu009</w:t>
        </w:r>
      </w:hyperlink>
      <w:r>
        <w:t xml:space="preserve">.</w:t>
      </w:r>
    </w:p>
    <w:p>
      <w:pPr>
        <w:pStyle w:val="BodyText"/>
      </w:pPr>
      <w:bookmarkStart w:id="68" w:name="ref-ogava-27"/>
      <w:bookmarkEnd w:id="68"/>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bookmarkStart w:id="69" w:name="ref-o-hagan-28"/>
      <w:bookmarkEnd w:id="69"/>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70">
        <w:r>
          <w:rPr>
            <w:rStyle w:val="Hyperlink"/>
          </w:rPr>
          <w:t xml:space="preserve">10.1023/A:1007653328733</w:t>
        </w:r>
      </w:hyperlink>
      <w:r>
        <w:t xml:space="preserve">.</w:t>
      </w:r>
    </w:p>
    <w:p>
      <w:pPr>
        <w:pStyle w:val="BodyText"/>
      </w:pPr>
      <w:bookmarkStart w:id="71" w:name="ref-secult-29"/>
      <w:bookmarkEnd w:id="71"/>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bookmarkStart w:id="72" w:name="ref-secult-30"/>
      <w:bookmarkEnd w:id="72"/>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bookmarkStart w:id="73" w:name="ref-secult-31"/>
      <w:bookmarkEnd w:id="73"/>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bookmarkStart w:id="74" w:name="ref-secult-32"/>
      <w:bookmarkEnd w:id="74"/>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bookmarkStart w:id="75" w:name="ref-secult-33"/>
      <w:bookmarkEnd w:id="75"/>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bookmarkStart w:id="76" w:name="ref-secult-34"/>
      <w:bookmarkEnd w:id="76"/>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bookmarkStart w:id="77" w:name="ref-secult-35"/>
      <w:bookmarkEnd w:id="77"/>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bookmarkStart w:id="78" w:name="ref-secult-36"/>
      <w:bookmarkEnd w:id="78"/>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bookmarkStart w:id="79" w:name="ref-secult-37"/>
      <w:bookmarkEnd w:id="79"/>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bookmarkStart w:id="80" w:name="ref-secult-38"/>
      <w:bookmarkEnd w:id="80"/>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bookmarkStart w:id="81" w:name="ref-secult-39"/>
      <w:bookmarkEnd w:id="81"/>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bookmarkStart w:id="82" w:name="ref-secult-40"/>
      <w:bookmarkEnd w:id="82"/>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bookmarkStart w:id="83" w:name="ref-secult-41"/>
      <w:bookmarkEnd w:id="83"/>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bookmarkStart w:id="84" w:name="ref-secult-42"/>
      <w:bookmarkEnd w:id="84"/>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bookmarkStart w:id="85" w:name="ref-secult-43"/>
      <w:bookmarkEnd w:id="85"/>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bookmarkStart w:id="86" w:name="ref-secult-44"/>
      <w:bookmarkEnd w:id="86"/>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bookmarkStart w:id="87" w:name="ref-silva-45"/>
      <w:bookmarkEnd w:id="87"/>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bookmarkStart w:id="88" w:name="ref-teixeira-46"/>
      <w:bookmarkEnd w:id="88"/>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89">
        <w:r>
          <w:rPr>
            <w:rStyle w:val="Hyperlink"/>
          </w:rPr>
          <w:t xml:space="preserve">10.20435/inter.v22i2.2965</w:t>
        </w:r>
      </w:hyperlink>
      <w:r>
        <w:t xml:space="preserve">.</w:t>
      </w:r>
    </w:p>
    <w:p>
      <w:pPr>
        <w:pStyle w:val="BodyText"/>
      </w:pPr>
      <w:bookmarkStart w:id="90" w:name="ref-white-47"/>
      <w:bookmarkEnd w:id="90"/>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91">
        <w:r>
          <w:rPr>
            <w:rStyle w:val="Hyperlink"/>
          </w:rPr>
          <w:t xml:space="preserve">10.22617/TCS179188-2</w:t>
        </w:r>
      </w:hyperlink>
      <w:r>
        <w:t xml:space="preserve">.</w:t>
      </w:r>
    </w:p>
    <w:p>
      <w:pPr>
        <w:pStyle w:val="BodyText"/>
      </w:pPr>
      <w:bookmarkStart w:id="92" w:name="ref-williams-48"/>
      <w:bookmarkEnd w:id="92"/>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93">
        <w:r>
          <w:rPr>
            <w:rStyle w:val="Hyperlink"/>
          </w:rPr>
          <w:t xml:space="preserve">10.1093/wbro/lky010</w:t>
        </w:r>
      </w:hyperlink>
      <w:r>
        <w:t xml:space="preserve">.</w:t>
      </w:r>
    </w:p>
    <w:bookmarkEnd w:id="94"/>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w:t>
      </w:r>
      <w:r>
        <w:t xml:space="preserve"> </w:t>
      </w:r>
      <w:hyperlink w:anchor="ref-dio-es-10">
        <w:r>
          <w:rPr>
            <w:rStyle w:val="Hyperlink"/>
          </w:rPr>
          <w:t xml:space="preserve">2026</w:t>
        </w:r>
      </w:hyperlink>
      <w:r>
        <w:t xml:space="preserve">): o teto de 2022 foi de R$ 15 milhões, valor que o anexo de captação da SECULT e a lista do Portal da Transparência informam (ESPÍRITO SANTO,</w:t>
      </w:r>
      <w:r>
        <w:t xml:space="preserve"> </w:t>
      </w:r>
      <w:hyperlink w:anchor="ref-espirito-14">
        <w:r>
          <w:rPr>
            <w:rStyle w:val="Hyperlink"/>
          </w:rPr>
          <w:t xml:space="preserve">2026a</w:t>
        </w:r>
      </w:hyperlink>
      <w:r>
        <w:t xml:space="preserve">),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70" Type="http://schemas.openxmlformats.org/officeDocument/2006/relationships/hyperlink" Target="https://doi.org/10.1023/A:1007653328733" TargetMode="External"/><Relationship Id="rId48" Type="http://schemas.openxmlformats.org/officeDocument/2006/relationships/hyperlink" Target="https://doi.org/10.1080/19439342.2016.1244555" TargetMode="External"/><Relationship Id="rId67" Type="http://schemas.openxmlformats.org/officeDocument/2006/relationships/hyperlink" Target="https://doi.org/10.1093/jopart/muu009" TargetMode="External"/><Relationship Id="rId55" Type="http://schemas.openxmlformats.org/officeDocument/2006/relationships/hyperlink" Target="https://doi.org/10.1093/qje/qjz013" TargetMode="External"/><Relationship Id="rId93" Type="http://schemas.openxmlformats.org/officeDocument/2006/relationships/hyperlink" Target="https://doi.org/10.1093/wbro/lky010" TargetMode="External"/><Relationship Id="rId58" Type="http://schemas.openxmlformats.org/officeDocument/2006/relationships/hyperlink" Target="https://doi.org/10.1177/1745691614551642" TargetMode="External"/><Relationship Id="rId36" Type="http://schemas.openxmlformats.org/officeDocument/2006/relationships/hyperlink" Target="https://doi.org/10.1257/aer.20180615" TargetMode="External"/><Relationship Id="rId41" Type="http://schemas.openxmlformats.org/officeDocument/2006/relationships/hyperlink" Target="https://doi.org/10.1287/mnsc.2019.3337" TargetMode="External"/><Relationship Id="rId45"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89" Type="http://schemas.openxmlformats.org/officeDocument/2006/relationships/hyperlink" Target="https://doi.org/10.20435/inter.v22i2.2965" TargetMode="External"/><Relationship Id="rId91" Type="http://schemas.openxmlformats.org/officeDocument/2006/relationships/hyperlink" Target="https://doi.org/10.22617/TCS179188-2" TargetMode="External"/><Relationship Id="rId65"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1fa8e29978cddaf8ad0b8febb5a130b03ca4425b/analise/tabelas/07_funil_captacao_anual.csv" TargetMode="External"/><Relationship Id="rId20" Type="http://schemas.openxmlformats.org/officeDocument/2006/relationships/hyperlink" Target="https://github.com/fcarva/aval-pol/blob/1fa8e29978cddaf8ad0b8febb5a130b03ca4425b/analise/tabelas/07_funil_por_ciclo.csv" TargetMode="External"/><Relationship Id="rId22" Type="http://schemas.openxmlformats.org/officeDocument/2006/relationships/hyperlink" Target="https://github.com/fcarva/aval-pol/blob/1fa8e29978cddaf8ad0b8febb5a130b03ca4425b/analise/tabelas/07_mapa_cultural_universo.csv" TargetMode="External"/><Relationship Id="rId28" Type="http://schemas.openxmlformats.org/officeDocument/2006/relationships/hyperlink" Target="https://github.com/fcarva/aval-pol/blob/1fa8e29978cddaf8ad0b8febb5a130b03ca4425b/analise/tabelas/23_poder_secao5.csv" TargetMode="External"/><Relationship Id="rId19" Type="http://schemas.openxmlformats.org/officeDocument/2006/relationships/hyperlink" Target="https://github.com/fcarva/aval-pol/tree/1fa8e29978cddaf8ad0b8febb5a130b03ca4425b/analise/tabelas" TargetMode="External"/></Relationships>
</file>

<file path=word/_rels/footnotes.xml.rels><?xml version='1.0' encoding='UTF-8' standalone='yes'?>
<Relationships xmlns="http://schemas.openxmlformats.org/package/2006/relationships"><Relationship Id="rId70" Type="http://schemas.openxmlformats.org/officeDocument/2006/relationships/hyperlink" Target="https://doi.org/10.1023/A:1007653328733" TargetMode="External"/><Relationship Id="rId48" Type="http://schemas.openxmlformats.org/officeDocument/2006/relationships/hyperlink" Target="https://doi.org/10.1080/19439342.2016.1244555" TargetMode="External"/><Relationship Id="rId67" Type="http://schemas.openxmlformats.org/officeDocument/2006/relationships/hyperlink" Target="https://doi.org/10.1093/jopart/muu009" TargetMode="External"/><Relationship Id="rId55" Type="http://schemas.openxmlformats.org/officeDocument/2006/relationships/hyperlink" Target="https://doi.org/10.1093/qje/qjz013" TargetMode="External"/><Relationship Id="rId93" Type="http://schemas.openxmlformats.org/officeDocument/2006/relationships/hyperlink" Target="https://doi.org/10.1093/wbro/lky010" TargetMode="External"/><Relationship Id="rId58" Type="http://schemas.openxmlformats.org/officeDocument/2006/relationships/hyperlink" Target="https://doi.org/10.1177/1745691614551642" TargetMode="External"/><Relationship Id="rId36" Type="http://schemas.openxmlformats.org/officeDocument/2006/relationships/hyperlink" Target="https://doi.org/10.1257/aer.20180615" TargetMode="External"/><Relationship Id="rId41" Type="http://schemas.openxmlformats.org/officeDocument/2006/relationships/hyperlink" Target="https://doi.org/10.1287/mnsc.2019.3337" TargetMode="External"/><Relationship Id="rId45" Type="http://schemas.openxmlformats.org/officeDocument/2006/relationships/hyperlink" Target="https://doi.org/10.1332/251569119X15675896589688" TargetMode="External"/><Relationship Id="rId43" Type="http://schemas.openxmlformats.org/officeDocument/2006/relationships/hyperlink" Target="https://doi.org/10.1590/0034-7612162254" TargetMode="External"/><Relationship Id="rId89" Type="http://schemas.openxmlformats.org/officeDocument/2006/relationships/hyperlink" Target="https://doi.org/10.20435/inter.v22i2.2965" TargetMode="External"/><Relationship Id="rId91" Type="http://schemas.openxmlformats.org/officeDocument/2006/relationships/hyperlink" Target="https://doi.org/10.22617/TCS179188-2" TargetMode="External"/><Relationship Id="rId65"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1fa8e29978cddaf8ad0b8febb5a130b03ca4425b/analise/tabelas/07_funil_captacao_anual.csv" TargetMode="External"/><Relationship Id="rId20" Type="http://schemas.openxmlformats.org/officeDocument/2006/relationships/hyperlink" Target="https://github.com/fcarva/aval-pol/blob/1fa8e29978cddaf8ad0b8febb5a130b03ca4425b/analise/tabelas/07_funil_por_ciclo.csv" TargetMode="External"/><Relationship Id="rId22" Type="http://schemas.openxmlformats.org/officeDocument/2006/relationships/hyperlink" Target="https://github.com/fcarva/aval-pol/blob/1fa8e29978cddaf8ad0b8febb5a130b03ca4425b/analise/tabelas/07_mapa_cultural_universo.csv" TargetMode="External"/><Relationship Id="rId28" Type="http://schemas.openxmlformats.org/officeDocument/2006/relationships/hyperlink" Target="https://github.com/fcarva/aval-pol/blob/1fa8e29978cddaf8ad0b8febb5a130b03ca4425b/analise/tabelas/23_poder_secao5.csv" TargetMode="External"/><Relationship Id="rId19" Type="http://schemas.openxmlformats.org/officeDocument/2006/relationships/hyperlink" Target="https://github.com/fcarva/aval-pol/tree/1fa8e29978cddaf8ad0b8febb5a130b03ca4425b/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dc:subject>Avaliação de Políticas Públicas (PECO 5046-6046), PPGEco/UFES</dc:subject>
  <cp:keywords/>
  <dcterms:created xsi:type="dcterms:W3CDTF">2026-09-28T21:38:23Z</dcterms:created>
  <dcterms:modified xsi:type="dcterms:W3CDTF">2026-09-28T21:38:23Z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