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a1f47aa960672d32…</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w:t>
      </w:r>
    </w:p>
    <w:p>
      <w:pPr>
        <w:pStyle w:val="Compact"/>
        <w:numPr>
          <w:ilvl w:val="1"/>
          <w:numId w:val="1006"/>
        </w:numPr>
      </w:pPr>
      <w:r>
        <w:rPr>
          <w:b/>
          <w:bCs/>
        </w:rPr>
        <w:t xml:space="preserve">[0.1.2]</w:t>
      </w:r>
      <w:r>
        <w:t xml:space="preserve"> </w:t>
      </w:r>
      <w:r>
        <w:t xml:space="preserve">Neste artigo, avalia-se o desenho da LICC: a partir da teoria da mudança derivam-se cinco premissas, por meio de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alocação dos recursos não demonstra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decidido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p>
      <w:pPr>
        <w:pStyle w:val="Compact"/>
        <w:numPr>
          <w:ilvl w:val="3"/>
          <w:numId w:val="1019"/>
        </w:numPr>
      </w:pPr>
      <w:r>
        <w:t xml:space="preserve">citações: DIO-ES, 2026; ESPÍRITO SANTO, 2026a</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 N87 ✔ (</w:t>
      </w:r>
      <w:r>
        <w:rPr>
          <w:rStyle w:val="VerbatimChar"/>
        </w:rPr>
        <w:t xml:space="preserve">analise/tabelas/21_etapas_captacao.csv (anexo = Portal = renúncia realizada,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a falta de coordenação entre os tomadores de decisão e proponentes dos bens públicos culturais, que a LICC financia, e não um atraso da atividade criativa em execução.</w:t>
      </w:r>
    </w:p>
    <w:p>
      <w:pPr>
        <w:pStyle w:val="Compact"/>
        <w:numPr>
          <w:ilvl w:val="1"/>
          <w:numId w:val="1030"/>
        </w:numPr>
      </w:pPr>
      <w:r>
        <w:rPr>
          <w:b/>
          <w:bCs/>
        </w:rPr>
        <w:t xml:space="preserve">[1.2.4]</w:t>
      </w:r>
      <w:r>
        <w:t xml:space="preserve"> </w:t>
      </w:r>
      <w:r>
        <w:t xml:space="preserve">A desigualdade de infraestrutura também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dos projetos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fiscal as escolhas sobre alocação de recursos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dificuldade de financiamento de bens públicos e a falta de coordenação entre o conselho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o financiamento de bens públicos como formação de comunidades e mostram que, se o valor recebido cresce com o número de contribuintes, e não só com o total aportado, a provisão é ótima no modelo de fundo de contrapartida e contribuições por parte do público.</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de impacto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p>
      <w:pPr>
        <w:pStyle w:val="Compact"/>
        <w:numPr>
          <w:ilvl w:val="1"/>
          <w:numId w:val="1086"/>
        </w:numPr>
      </w:pPr>
      <w:r>
        <w:rPr>
          <w:b/>
          <w:bCs/>
        </w:rPr>
        <w:t xml:space="preserve">[3.3.2]</w:t>
      </w:r>
      <w:r>
        <w:t xml:space="preserve"> </w:t>
      </w:r>
      <w:r>
        <w:t xml:space="preserve">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simula a atividade gerada pelo gasto, e não o que ocorreria sem o incentivo.</w:t>
      </w:r>
    </w:p>
    <w:p>
      <w:pPr>
        <w:pStyle w:val="Compact"/>
        <w:numPr>
          <w:ilvl w:val="2"/>
          <w:numId w:val="1087"/>
        </w:numPr>
      </w:pPr>
      <w:r>
        <w:t xml:space="preserve">citações: IJSN, 2026; DIO-ES, 2026</w:t>
      </w:r>
    </w:p>
    <w:p>
      <w:pPr>
        <w:pStyle w:val="Compact"/>
        <w:numPr>
          <w:ilvl w:val="2"/>
          <w:numId w:val="1087"/>
        </w:numPr>
      </w:pPr>
      <w:r>
        <w:t xml:space="preserve">checagem de dados: N102 ✔ (</w:t>
      </w:r>
      <w:r>
        <w:rPr>
          <w:rStyle w:val="VerbatimChar"/>
        </w:rPr>
        <w:t xml:space="preserve">dados/fontes_web/firecrawl/ijsn_cultura_em_dados_2026.md (IJSN, notícia de 01/07/2026)</w:t>
      </w:r>
      <w:r>
        <w:t xml:space="preserve">)</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8"/>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9"/>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90"/>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91"/>
        </w:numPr>
      </w:pPr>
      <w:r>
        <w:t xml:space="preserve">citações: Gertler</w:t>
      </w:r>
      <w:r>
        <w:t xml:space="preserve"> </w:t>
      </w:r>
      <w:r>
        <w:rPr>
          <w:i/>
          <w:iCs/>
        </w:rPr>
        <w:t xml:space="preserve">et al.</w:t>
      </w:r>
      <w:r>
        <w:t xml:space="preserve"> </w:t>
      </w:r>
      <w:r>
        <w:t xml:space="preserve">(2018)</w:t>
      </w:r>
    </w:p>
    <w:p>
      <w:pPr>
        <w:pStyle w:val="Compact"/>
        <w:numPr>
          <w:ilvl w:val="1"/>
          <w:numId w:val="1092"/>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8"/>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3"/>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8"/>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4"/>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5"/>
        </w:numPr>
      </w:pPr>
      <w:r>
        <w:t xml:space="preserve">citações: MAYNE, 2015</w:t>
      </w:r>
    </w:p>
    <w:p>
      <w:pPr>
        <w:pStyle w:val="Compact"/>
        <w:numPr>
          <w:ilvl w:val="1"/>
          <w:numId w:val="1096"/>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7"/>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8"/>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9"/>
        </w:numPr>
      </w:pPr>
      <w:r>
        <w:rPr>
          <w:b/>
          <w:bCs/>
        </w:rPr>
        <w:t xml:space="preserve">[4.1.3.5]</w:t>
      </w:r>
      <w:r>
        <w:t xml:space="preserve"> </w:t>
      </w:r>
      <w:r>
        <w:t xml:space="preserve">H3 (taxa de serviço): o recurso chega ao bem cultural, e não à intermediação.</w:t>
      </w:r>
    </w:p>
    <w:p>
      <w:pPr>
        <w:pStyle w:val="Compact"/>
        <w:numPr>
          <w:ilvl w:val="1"/>
          <w:numId w:val="1100"/>
        </w:numPr>
      </w:pPr>
      <w:r>
        <w:rPr>
          <w:b/>
          <w:bCs/>
        </w:rPr>
        <w:t xml:space="preserve">[4.1.3.6]</w:t>
      </w:r>
      <w:r>
        <w:t xml:space="preserve"> </w:t>
      </w:r>
      <w:r>
        <w:t xml:space="preserve">H4 (exclusão): quem não tem acesso a grandes contribuintes consegue entrar.</w:t>
      </w:r>
    </w:p>
    <w:p>
      <w:pPr>
        <w:pStyle w:val="Compact"/>
        <w:numPr>
          <w:ilvl w:val="1"/>
          <w:numId w:val="1101"/>
        </w:numPr>
      </w:pPr>
      <w:r>
        <w:rPr>
          <w:b/>
          <w:bCs/>
        </w:rPr>
        <w:t xml:space="preserve">[4.1.3.7]</w:t>
      </w:r>
      <w:r>
        <w:t xml:space="preserve"> </w:t>
      </w:r>
      <w:r>
        <w:t xml:space="preserve">H5 (entrega): o bem financiado não existiria sem a LICC.</w:t>
      </w:r>
    </w:p>
    <w:p>
      <w:pPr>
        <w:pStyle w:val="Compact"/>
        <w:numPr>
          <w:ilvl w:val="1"/>
          <w:numId w:val="1102"/>
        </w:numPr>
      </w:pPr>
      <w:r>
        <w:rPr>
          <w:b/>
          <w:bCs/>
        </w:rPr>
        <w:t xml:space="preserve">[4.1.3.8]</w:t>
      </w:r>
      <w:r>
        <w:t xml:space="preserve"> </w:t>
      </w:r>
      <w:r>
        <w:t xml:space="preserve">H1 a H4 perguntam quem decide e a que custo; H5, se o que se financia é adicional.</w:t>
      </w:r>
    </w:p>
    <w:p>
      <w:pPr>
        <w:pStyle w:val="Compact"/>
        <w:numPr>
          <w:ilvl w:val="1"/>
          <w:numId w:val="1103"/>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4"/>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5"/>
        </w:numPr>
      </w:pPr>
      <w:r>
        <w:t xml:space="preserve">Baixa e desigual capacidade de financiar a produção e a oferta cultural fora do circuito já consolidado</w:t>
      </w:r>
    </w:p>
    <w:p>
      <w:pPr>
        <w:pStyle w:val="Compact"/>
        <w:numPr>
          <w:ilvl w:val="1"/>
          <w:numId w:val="1106"/>
        </w:numPr>
      </w:pPr>
      <w:r>
        <w:t xml:space="preserve">Teto anual de renúncia de ICMS (imposto que a população deixa de arrecadar) · SECULT, pareceristas, CAP e SEFAZ · Mapa Cultural</w:t>
      </w:r>
    </w:p>
    <w:p>
      <w:pPr>
        <w:pStyle w:val="Compact"/>
        <w:numPr>
          <w:ilvl w:val="1"/>
          <w:numId w:val="1107"/>
        </w:numPr>
      </w:pPr>
      <w:r>
        <w:t xml:space="preserve">A1 · Inscrição no edital: on-line, com CNPJ e documentos (quem decide: agente cultural)</w:t>
      </w:r>
    </w:p>
    <w:p>
      <w:pPr>
        <w:pStyle w:val="Compact"/>
        <w:numPr>
          <w:ilvl w:val="1"/>
          <w:numId w:val="1108"/>
        </w:numPr>
      </w:pPr>
      <w:r>
        <w:t xml:space="preserve">A2 · Parecer e CAP: parecer sem nota; a CAP habilita ou não (quem decide: SECULT e CAP)</w:t>
      </w:r>
    </w:p>
    <w:p>
      <w:pPr>
        <w:pStyle w:val="Compact"/>
        <w:numPr>
          <w:ilvl w:val="1"/>
          <w:numId w:val="1109"/>
        </w:numPr>
      </w:pPr>
      <w:r>
        <w:t xml:space="preserve">P1 · Cardápio de projetos habilitados: autorização para captar por um ano</w:t>
      </w:r>
    </w:p>
    <w:p>
      <w:pPr>
        <w:pStyle w:val="Compact"/>
        <w:numPr>
          <w:ilvl w:val="1"/>
          <w:numId w:val="1110"/>
        </w:numPr>
      </w:pPr>
      <w:r>
        <w:t xml:space="preserve">A3 · Escolha e termo: a empresa escolhe e compromete o ICMS (quem decide: empresa)</w:t>
      </w:r>
    </w:p>
    <w:p>
      <w:pPr>
        <w:pStyle w:val="Compact"/>
        <w:numPr>
          <w:ilvl w:val="1"/>
          <w:numId w:val="1111"/>
        </w:numPr>
      </w:pPr>
      <w:r>
        <w:t xml:space="preserve">A4 · Validação no teto: termos validados até esgotar a cota (quem decide: SEFAZ)</w:t>
      </w:r>
    </w:p>
    <w:p>
      <w:pPr>
        <w:pStyle w:val="Compact"/>
        <w:numPr>
          <w:ilvl w:val="1"/>
          <w:numId w:val="1112"/>
        </w:numPr>
      </w:pPr>
      <w:r>
        <w:t xml:space="preserve">P2 · Projetos patrocinados: captação por projeto e empresa</w:t>
      </w:r>
    </w:p>
    <w:p>
      <w:pPr>
        <w:pStyle w:val="Compact"/>
        <w:numPr>
          <w:ilvl w:val="1"/>
          <w:numId w:val="1113"/>
        </w:numPr>
      </w:pPr>
      <w:r>
        <w:t xml:space="preserve">P3 · Projetos executados: com contrapartidas de acesso (quem decide: proponente)</w:t>
      </w:r>
    </w:p>
    <w:p>
      <w:pPr>
        <w:pStyle w:val="Compact"/>
        <w:numPr>
          <w:ilvl w:val="1"/>
          <w:numId w:val="1114"/>
        </w:numPr>
      </w:pPr>
      <w:r>
        <w:t xml:space="preserve">RI1 · Bens culturais de acesso público: gratuidade, acessibilidade, interior</w:t>
      </w:r>
    </w:p>
    <w:p>
      <w:pPr>
        <w:pStyle w:val="Compact"/>
        <w:numPr>
          <w:ilvl w:val="1"/>
          <w:numId w:val="1115"/>
        </w:numPr>
      </w:pPr>
      <w:r>
        <w:t xml:space="preserve">RI2 · Quem executa se diversifica: novos proponentes, interior, emprego</w:t>
      </w:r>
    </w:p>
    <w:p>
      <w:pPr>
        <w:pStyle w:val="Compact"/>
        <w:numPr>
          <w:ilvl w:val="1"/>
          <w:numId w:val="1116"/>
        </w:numPr>
      </w:pPr>
      <w:r>
        <w:t xml:space="preserve">Acesso maior e menos desigual da população à cultura, e um setor cultural mais capaz de se financiar</w:t>
      </w:r>
    </w:p>
    <w:p>
      <w:pPr>
        <w:pStyle w:val="Compact"/>
        <w:numPr>
          <w:ilvl w:val="1"/>
          <w:numId w:val="1117"/>
        </w:numPr>
      </w:pPr>
      <w:r>
        <w:t xml:space="preserve">H4 · Exclusão na entrada: Quem não chega a grandes contribuintes (projeto pequeno, interior, estreante) consegue entrar e captar?</w:t>
      </w:r>
    </w:p>
    <w:p>
      <w:pPr>
        <w:pStyle w:val="Compact"/>
        <w:numPr>
          <w:ilvl w:val="1"/>
          <w:numId w:val="1118"/>
        </w:numPr>
      </w:pPr>
      <w:r>
        <w:t xml:space="preserve">H2 · Decisão concentrada: O parecer só qualifica; entre os habilitados, decidem a empresa e a fila dos termos. O público não escolhe.</w:t>
      </w:r>
    </w:p>
    <w:p>
      <w:pPr>
        <w:pStyle w:val="Compact"/>
        <w:numPr>
          <w:ilvl w:val="1"/>
          <w:numId w:val="1119"/>
        </w:numPr>
      </w:pPr>
      <w:r>
        <w:t xml:space="preserve">H1 · Marketing: A escolha pela marca, retorno privado da empresa, deixa de fora bem público que a população valorizaria?</w:t>
      </w:r>
    </w:p>
    <w:p>
      <w:pPr>
        <w:pStyle w:val="Compact"/>
        <w:numPr>
          <w:ilvl w:val="1"/>
          <w:numId w:val="1120"/>
        </w:numPr>
      </w:pPr>
      <w:r>
        <w:t xml:space="preserve">H3 · Taxa de serviço: Quanto do recurso fica com captação, elaboração e divulgação (até 10%, 5% e 25%)?</w:t>
      </w:r>
    </w:p>
    <w:p>
      <w:pPr>
        <w:pStyle w:val="Compact"/>
        <w:numPr>
          <w:ilvl w:val="1"/>
          <w:numId w:val="1121"/>
        </w:numPr>
      </w:pPr>
      <w:r>
        <w:t xml:space="preserve">H5 · Entrega verificável: O bem cultural aconteceria sem a LICC? Chega ao público, e o declarado é entregue?</w:t>
      </w:r>
    </w:p>
    <w:p>
      <w:pPr>
        <w:pStyle w:val="Compact"/>
        <w:numPr>
          <w:ilvl w:val="0"/>
          <w:numId w:val="1104"/>
        </w:numPr>
      </w:pPr>
      <w:r>
        <w:rPr>
          <w:b/>
          <w:bCs/>
        </w:rPr>
        <w:t xml:space="preserve">4.1.4</w:t>
      </w:r>
      <w:r>
        <w:t xml:space="preserve"> </w:t>
      </w:r>
      <w:r>
        <w:t xml:space="preserve">(fonte do quadro, tabela ou figura)</w:t>
      </w:r>
    </w:p>
    <w:p>
      <w:pPr>
        <w:pStyle w:val="Compact"/>
        <w:numPr>
          <w:ilvl w:val="1"/>
          <w:numId w:val="1122"/>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3"/>
        </w:numPr>
      </w:pPr>
      <w:r>
        <w:t xml:space="preserve">citações: GERTLER</w:t>
      </w:r>
      <w:r>
        <w:t xml:space="preserve"> </w:t>
      </w:r>
      <w:r>
        <w:rPr>
          <w:i/>
          <w:iCs/>
        </w:rPr>
        <w:t xml:space="preserve">et al.</w:t>
      </w:r>
      <w:r>
        <w:t xml:space="preserve">, 2018</w:t>
      </w:r>
    </w:p>
    <w:p>
      <w:pPr>
        <w:pStyle w:val="Compact"/>
        <w:numPr>
          <w:ilvl w:val="1"/>
          <w:numId w:val="1124"/>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5"/>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6"/>
        </w:numPr>
      </w:pPr>
      <w:r>
        <w:rPr>
          <w:b/>
          <w:bCs/>
        </w:rPr>
        <w:t xml:space="preserve">[4.2.1.1]</w:t>
      </w:r>
      <w:r>
        <w:t xml:space="preserve"> </w:t>
      </w:r>
      <w:r>
        <w:t xml:space="preserve">Aplicam-se as perguntas usuais de avaliação de desenho: o problema está formulado?</w:t>
      </w:r>
    </w:p>
    <w:p>
      <w:pPr>
        <w:pStyle w:val="Compact"/>
        <w:numPr>
          <w:ilvl w:val="1"/>
          <w:numId w:val="1127"/>
        </w:numPr>
      </w:pPr>
      <w:r>
        <w:rPr>
          <w:b/>
          <w:bCs/>
        </w:rPr>
        <w:t xml:space="preserve">[4.2.1.2]</w:t>
      </w:r>
      <w:r>
        <w:t xml:space="preserve"> </w:t>
      </w:r>
      <w:r>
        <w:t xml:space="preserve">Os objetivos são mensuráveis?</w:t>
      </w:r>
    </w:p>
    <w:p>
      <w:pPr>
        <w:pStyle w:val="Compact"/>
        <w:numPr>
          <w:ilvl w:val="1"/>
          <w:numId w:val="1128"/>
        </w:numPr>
      </w:pPr>
      <w:r>
        <w:rPr>
          <w:b/>
          <w:bCs/>
        </w:rPr>
        <w:t xml:space="preserve">[4.2.1.3]</w:t>
      </w:r>
      <w:r>
        <w:t xml:space="preserve"> </w:t>
      </w:r>
      <w:r>
        <w:t xml:space="preserve">Cada elo tem premissa crível e indicador?</w:t>
      </w:r>
    </w:p>
    <w:p>
      <w:pPr>
        <w:pStyle w:val="Compact"/>
        <w:numPr>
          <w:ilvl w:val="1"/>
          <w:numId w:val="1129"/>
        </w:numPr>
      </w:pPr>
      <w:r>
        <w:rPr>
          <w:b/>
          <w:bCs/>
        </w:rPr>
        <w:t xml:space="preserve">[4.2.1.4]</w:t>
      </w:r>
      <w:r>
        <w:t xml:space="preserve"> </w:t>
      </w:r>
      <w:r>
        <w:t xml:space="preserve">Quanto se perde ao longo da cadeia?</w:t>
      </w:r>
    </w:p>
    <w:p>
      <w:pPr>
        <w:pStyle w:val="Compact"/>
        <w:numPr>
          <w:ilvl w:val="1"/>
          <w:numId w:val="1130"/>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31"/>
        </w:numPr>
      </w:pPr>
      <w:r>
        <w:t xml:space="preserve">citações: Williams (2020)</w:t>
      </w:r>
    </w:p>
    <w:p>
      <w:pPr>
        <w:pStyle w:val="Compact"/>
        <w:numPr>
          <w:ilvl w:val="0"/>
          <w:numId w:val="1125"/>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2"/>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3"/>
        </w:numPr>
      </w:pPr>
      <w:r>
        <w:t xml:space="preserve">citações: ESPÍRITO SANTO, 2021b, art. 3º</w:t>
      </w:r>
    </w:p>
    <w:p>
      <w:pPr>
        <w:pStyle w:val="Compact"/>
        <w:numPr>
          <w:ilvl w:val="1"/>
          <w:numId w:val="1134"/>
        </w:numPr>
      </w:pPr>
      <w:r>
        <w:rPr>
          <w:b/>
          <w:bCs/>
        </w:rPr>
        <w:t xml:space="preserve">[4.2.2.2]</w:t>
      </w:r>
      <w:r>
        <w:t xml:space="preserve"> </w:t>
      </w:r>
      <w:r>
        <w:t xml:space="preserve">Não há meta, magnitude esperada nem indicador: no relatório de avaliação do PPA, a LICC aparece só no relato de uma ação de despesa, sem produto nem meta física próprios (ESPÍRITO SANTO, 2026b).</w:t>
      </w:r>
    </w:p>
    <w:p>
      <w:pPr>
        <w:pStyle w:val="Compact"/>
        <w:numPr>
          <w:ilvl w:val="2"/>
          <w:numId w:val="1135"/>
        </w:numPr>
      </w:pPr>
      <w:r>
        <w:t xml:space="preserve">citações: ESPÍRITO SANTO, 2026b</w:t>
      </w:r>
    </w:p>
    <w:p>
      <w:pPr>
        <w:pStyle w:val="Compact"/>
        <w:numPr>
          <w:ilvl w:val="1"/>
          <w:numId w:val="1136"/>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7"/>
        </w:numPr>
      </w:pPr>
      <w:r>
        <w:t xml:space="preserve">citações: BARROS; LIMA, 2017</w:t>
      </w:r>
    </w:p>
    <w:p>
      <w:pPr>
        <w:pStyle w:val="Compact"/>
        <w:numPr>
          <w:ilvl w:val="0"/>
          <w:numId w:val="1125"/>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8"/>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9"/>
        </w:numPr>
      </w:pPr>
      <w:r>
        <w:t xml:space="preserve">citações: WHITE; RAITZER, 2017</w:t>
      </w:r>
    </w:p>
    <w:p>
      <w:pPr>
        <w:pStyle w:val="Compact"/>
        <w:numPr>
          <w:ilvl w:val="1"/>
          <w:numId w:val="1140"/>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41"/>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42"/>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3"/>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4"/>
        </w:numPr>
      </w:pPr>
      <w:r>
        <w:rPr>
          <w:b/>
          <w:bCs/>
        </w:rPr>
        <w:t xml:space="preserve">Colunas:</w:t>
      </w:r>
      <w:r>
        <w:t xml:space="preserve"> </w:t>
      </w:r>
      <w:r>
        <w:t xml:space="preserve">Elo · Premissa · Contexto real · Situação</w:t>
      </w:r>
    </w:p>
    <w:p>
      <w:pPr>
        <w:pStyle w:val="Compact"/>
        <w:numPr>
          <w:ilvl w:val="1"/>
          <w:numId w:val="1145"/>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Indeterminada: marca e valor público não se separam no dado público</w:t>
      </w:r>
    </w:p>
    <w:p>
      <w:pPr>
        <w:pStyle w:val="Compact"/>
        <w:numPr>
          <w:ilvl w:val="2"/>
          <w:numId w:val="1146"/>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6"/>
        </w:numPr>
      </w:pPr>
      <w:r>
        <w:t xml:space="preserve">⚠ números sem checagem automática (conferir na fonte citada): 25%</w:t>
      </w:r>
    </w:p>
    <w:p>
      <w:pPr>
        <w:pStyle w:val="Compact"/>
        <w:numPr>
          <w:ilvl w:val="1"/>
          <w:numId w:val="1147"/>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8"/>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9"/>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50"/>
        </w:numPr>
      </w:pPr>
      <w:r>
        <w:t xml:space="preserve">checagem de dados: N52 ✔ (</w:t>
      </w:r>
      <w:r>
        <w:rPr>
          <w:rStyle w:val="VerbatimChar"/>
        </w:rPr>
        <w:t xml:space="preserve">analise/tabelas/10_taxa_servico_permitida_2025.csv</w:t>
      </w:r>
      <w:r>
        <w:t xml:space="preserve">)</w:t>
      </w:r>
    </w:p>
    <w:p>
      <w:pPr>
        <w:pStyle w:val="Compact"/>
        <w:numPr>
          <w:ilvl w:val="1"/>
          <w:numId w:val="1151"/>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52"/>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3"/>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4"/>
        </w:numPr>
      </w:pPr>
      <w:r>
        <w:t xml:space="preserve">⚠ números sem checagem automática (conferir na fonte citada): 30%</w:t>
      </w:r>
    </w:p>
    <w:p>
      <w:pPr>
        <w:pStyle w:val="Compact"/>
        <w:numPr>
          <w:ilvl w:val="0"/>
          <w:numId w:val="1144"/>
        </w:numPr>
      </w:pPr>
      <w:r>
        <w:rPr>
          <w:b/>
          <w:bCs/>
        </w:rPr>
        <w:t xml:space="preserve">4.2.4</w:t>
      </w:r>
      <w:r>
        <w:t xml:space="preserve"> </w:t>
      </w:r>
      <w:r>
        <w:t xml:space="preserve">(fonte do quadro, tabela ou figura)</w:t>
      </w:r>
    </w:p>
    <w:p>
      <w:pPr>
        <w:pStyle w:val="Compact"/>
        <w:numPr>
          <w:ilvl w:val="1"/>
          <w:numId w:val="1155"/>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2026a)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6"/>
        </w:numPr>
      </w:pPr>
      <w:r>
        <w:t xml:space="preserve">citações: ESPÍRITO SANTO, 2026a; Williams (2020)</w:t>
      </w:r>
    </w:p>
    <w:p>
      <w:pPr>
        <w:pStyle w:val="Compact"/>
        <w:numPr>
          <w:ilvl w:val="2"/>
          <w:numId w:val="1156"/>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7"/>
        </w:numPr>
      </w:pPr>
      <w:r>
        <w:rPr>
          <w:b/>
          <w:bCs/>
        </w:rPr>
        <w:t xml:space="preserve">Colunas:</w:t>
      </w:r>
      <w:r>
        <w:t xml:space="preserve"> </w:t>
      </w:r>
      <w:r>
        <w:t xml:space="preserve">Etapa · Valor · Período</w:t>
      </w:r>
    </w:p>
    <w:p>
      <w:pPr>
        <w:pStyle w:val="Compact"/>
        <w:numPr>
          <w:ilvl w:val="1"/>
          <w:numId w:val="1158"/>
        </w:numPr>
      </w:pPr>
      <w:r>
        <w:rPr>
          <w:b/>
          <w:bCs/>
        </w:rPr>
        <w:t xml:space="preserve">Agentes culturais cadastrados no Mapa Cultural (coletivos)</w:t>
      </w:r>
      <w:r>
        <w:t xml:space="preserve"> </w:t>
      </w:r>
      <w:r>
        <w:t xml:space="preserve">— 25.441 (2.592) — set. 2026</w:t>
      </w:r>
    </w:p>
    <w:p>
      <w:pPr>
        <w:pStyle w:val="Compact"/>
        <w:numPr>
          <w:ilvl w:val="2"/>
          <w:numId w:val="1159"/>
        </w:numPr>
      </w:pPr>
      <w:r>
        <w:t xml:space="preserve">checagem de dados: N03 ✔ (</w:t>
      </w:r>
      <w:r>
        <w:rPr>
          <w:rStyle w:val="VerbatimChar"/>
        </w:rPr>
        <w:t xml:space="preserve">analise/tabelas/07_mapa_cultural_universo.csv</w:t>
      </w:r>
      <w:r>
        <w:t xml:space="preserve">)</w:t>
      </w:r>
    </w:p>
    <w:p>
      <w:pPr>
        <w:pStyle w:val="Compact"/>
        <w:numPr>
          <w:ilvl w:val="1"/>
          <w:numId w:val="1160"/>
        </w:numPr>
      </w:pPr>
      <w:r>
        <w:rPr>
          <w:b/>
          <w:bCs/>
        </w:rPr>
        <w:t xml:space="preserve">Projetos inscritos</w:t>
      </w:r>
      <w:r>
        <w:t xml:space="preserve"> </w:t>
      </w:r>
      <w:r>
        <w:t xml:space="preserve">— não publicado — —</w:t>
      </w:r>
    </w:p>
    <w:p>
      <w:pPr>
        <w:pStyle w:val="Compact"/>
        <w:numPr>
          <w:ilvl w:val="1"/>
          <w:numId w:val="1161"/>
        </w:numPr>
      </w:pPr>
      <w:r>
        <w:rPr>
          <w:b/>
          <w:bCs/>
        </w:rPr>
        <w:t xml:space="preserve">Projetos habilitados; proponentes por ciclo</w:t>
      </w:r>
      <w:r>
        <w:t xml:space="preserve"> </w:t>
      </w:r>
      <w:r>
        <w:t xml:space="preserve">— 305; 53, 92 e 95 — ciclos 2022-2024</w:t>
      </w:r>
    </w:p>
    <w:p>
      <w:pPr>
        <w:pStyle w:val="Compact"/>
        <w:numPr>
          <w:ilvl w:val="2"/>
          <w:numId w:val="1162"/>
        </w:numPr>
      </w:pPr>
      <w:r>
        <w:t xml:space="preserve">checagem de dados: N05 ✔ (</w:t>
      </w:r>
      <w:r>
        <w:rPr>
          <w:rStyle w:val="VerbatimChar"/>
        </w:rPr>
        <w:t xml:space="preserve">analise/tabelas/07_funil_por_ciclo.csv</w:t>
      </w:r>
      <w:r>
        <w:t xml:space="preserve">)</w:t>
      </w:r>
    </w:p>
    <w:p>
      <w:pPr>
        <w:pStyle w:val="Compact"/>
        <w:numPr>
          <w:ilvl w:val="1"/>
          <w:numId w:val="1163"/>
        </w:numPr>
      </w:pPr>
      <w:r>
        <w:rPr>
          <w:b/>
          <w:bCs/>
        </w:rPr>
        <w:t xml:space="preserve">Habilitados com situação resolvida; captaram</w:t>
      </w:r>
      <w:r>
        <w:t xml:space="preserve"> </w:t>
      </w:r>
      <w:r>
        <w:t xml:space="preserve">— 293; 198 — ciclos 2022-2024</w:t>
      </w:r>
    </w:p>
    <w:p>
      <w:pPr>
        <w:pStyle w:val="Compact"/>
        <w:numPr>
          <w:ilvl w:val="2"/>
          <w:numId w:val="1164"/>
        </w:numPr>
      </w:pPr>
      <w:r>
        <w:t xml:space="preserve">checagem de dados: N06 ✔ (</w:t>
      </w:r>
      <w:r>
        <w:rPr>
          <w:rStyle w:val="VerbatimChar"/>
        </w:rPr>
        <w:t xml:space="preserve">analise/tabelas/07_funil_por_ciclo.csv</w:t>
      </w:r>
      <w:r>
        <w:t xml:space="preserve">)</w:t>
      </w:r>
    </w:p>
    <w:p>
      <w:pPr>
        <w:pStyle w:val="Compact"/>
        <w:numPr>
          <w:ilvl w:val="1"/>
          <w:numId w:val="1165"/>
        </w:numPr>
      </w:pPr>
      <w:r>
        <w:rPr>
          <w:b/>
          <w:bCs/>
        </w:rPr>
        <w:t xml:space="preserve">Valor com patrocinador que coube no teto</w:t>
      </w:r>
      <w:r>
        <w:t xml:space="preserve"> </w:t>
      </w:r>
      <w:r>
        <w:t xml:space="preserve">— 78%; 74% — captação 2023; 2024</w:t>
      </w:r>
    </w:p>
    <w:p>
      <w:pPr>
        <w:pStyle w:val="Compact"/>
        <w:numPr>
          <w:ilvl w:val="2"/>
          <w:numId w:val="1166"/>
        </w:numPr>
      </w:pPr>
      <w:r>
        <w:t xml:space="preserve">checagem de dados: N08 ✔ (</w:t>
      </w:r>
      <w:r>
        <w:rPr>
          <w:rStyle w:val="VerbatimChar"/>
        </w:rPr>
        <w:t xml:space="preserve">analise/tabelas/07_funil_captacao_anual.csv</w:t>
      </w:r>
      <w:r>
        <w:t xml:space="preserve">)</w:t>
      </w:r>
    </w:p>
    <w:p>
      <w:pPr>
        <w:pStyle w:val="Compact"/>
        <w:numPr>
          <w:ilvl w:val="1"/>
          <w:numId w:val="1167"/>
        </w:numPr>
      </w:pPr>
      <w:r>
        <w:rPr>
          <w:b/>
          <w:bCs/>
        </w:rPr>
        <w:t xml:space="preserve">Público alcançado e gratuidade</w:t>
      </w:r>
      <w:r>
        <w:t xml:space="preserve"> </w:t>
      </w:r>
      <w:r>
        <w:t xml:space="preserve">— não publicado — —</w:t>
      </w:r>
    </w:p>
    <w:p>
      <w:pPr>
        <w:pStyle w:val="Compact"/>
        <w:numPr>
          <w:ilvl w:val="0"/>
          <w:numId w:val="1157"/>
        </w:numPr>
      </w:pPr>
      <w:r>
        <w:rPr>
          <w:b/>
          <w:bCs/>
        </w:rPr>
        <w:t xml:space="preserve">4.2.5</w:t>
      </w:r>
      <w:r>
        <w:t xml:space="preserve"> </w:t>
      </w:r>
      <w:r>
        <w:t xml:space="preserve">(fonte do quadro, tabela ou figura)</w:t>
      </w:r>
    </w:p>
    <w:p>
      <w:pPr>
        <w:pStyle w:val="Compact"/>
        <w:numPr>
          <w:ilvl w:val="1"/>
          <w:numId w:val="1168"/>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9"/>
        </w:numPr>
      </w:pPr>
      <w:r>
        <w:t xml:space="preserve">citações: SECULT, 2026d</w:t>
      </w:r>
    </w:p>
    <w:p>
      <w:pPr>
        <w:pStyle w:val="Compact"/>
        <w:numPr>
          <w:ilvl w:val="2"/>
          <w:numId w:val="1169"/>
        </w:numPr>
      </w:pPr>
      <w:r>
        <w:t xml:space="preserve">⚠ números sem checagem automática (conferir na fonte citada): 2026</w:t>
      </w:r>
    </w:p>
    <w:p>
      <w:pPr>
        <w:pStyle w:val="Compact"/>
        <w:numPr>
          <w:ilvl w:val="1"/>
          <w:numId w:val="1170"/>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7"/>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71"/>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72"/>
        </w:numPr>
      </w:pPr>
      <w:r>
        <w:t xml:space="preserve">citações: SECULT, 2025a, arts. 17 e 19</w:t>
      </w:r>
    </w:p>
    <w:p>
      <w:pPr>
        <w:pStyle w:val="Compact"/>
        <w:numPr>
          <w:ilvl w:val="1"/>
          <w:numId w:val="1173"/>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4"/>
        </w:numPr>
      </w:pPr>
      <w:r>
        <w:t xml:space="preserve">citações: ESPÍRITO SANTO, 2021b, art. 2º; BRASIL, 2006, art. 24; SECULT, 2026a, art. 40</w:t>
      </w:r>
    </w:p>
    <w:p>
      <w:pPr>
        <w:pStyle w:val="Compact"/>
        <w:numPr>
          <w:ilvl w:val="1"/>
          <w:numId w:val="1175"/>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6"/>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7"/>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8"/>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8"/>
        </w:numPr>
      </w:pPr>
      <w:r>
        <w:t xml:space="preserve">⚠ números sem checagem automática (conferir na fonte citada): 400</w:t>
      </w:r>
    </w:p>
    <w:p>
      <w:pPr>
        <w:pStyle w:val="Compact"/>
        <w:numPr>
          <w:ilvl w:val="1"/>
          <w:numId w:val="1179"/>
        </w:numPr>
      </w:pPr>
      <w:r>
        <w:rPr>
          <w:b/>
          <w:bCs/>
        </w:rPr>
        <w:t xml:space="preserve">[4.2.6.5]</w:t>
      </w:r>
      <w:r>
        <w:t xml:space="preserve"> </w:t>
      </w:r>
      <w:r>
        <w:t xml:space="preserve">Os pedidos se acumulam no teto por projeto: 36% dos habilitados do ciclo 2025 pediram exatamente R$ 500 mil, o que também ocorre se quem já tem patrocinador pede o máximo.</w:t>
      </w:r>
    </w:p>
    <w:p>
      <w:pPr>
        <w:pStyle w:val="Compact"/>
        <w:numPr>
          <w:ilvl w:val="2"/>
          <w:numId w:val="1180"/>
        </w:numPr>
      </w:pPr>
      <w:r>
        <w:t xml:space="preserve">checagem de dados: N58 ✔ (</w:t>
      </w:r>
      <w:r>
        <w:rPr>
          <w:rStyle w:val="VerbatimChar"/>
        </w:rPr>
        <w:t xml:space="preserve">analise/tabelas/03_bunching_teto.csv</w:t>
      </w:r>
      <w:r>
        <w:t xml:space="preserve">)</w:t>
      </w:r>
    </w:p>
    <w:p>
      <w:pPr>
        <w:pStyle w:val="Compact"/>
        <w:numPr>
          <w:ilvl w:val="1"/>
          <w:numId w:val="1181"/>
        </w:numPr>
      </w:pPr>
      <w:r>
        <w:rPr>
          <w:b/>
          <w:bCs/>
        </w:rPr>
        <w:t xml:space="preserve">[4.2.6.6]</w:t>
      </w:r>
      <w:r>
        <w:t xml:space="preserve"> </w:t>
      </w:r>
      <w:r>
        <w:t xml:space="preserve">O custo de entrada é o que a literatura chama de custo administrativo (MOYNIHAN; HERD; HARVEY, 2015); ele pode excluir sem selecionar ou funcionar como triagem (FINKELSTEIN; NOTOWIDIGDO, 2019).</w:t>
      </w:r>
    </w:p>
    <w:p>
      <w:pPr>
        <w:pStyle w:val="Compact"/>
        <w:numPr>
          <w:ilvl w:val="2"/>
          <w:numId w:val="1182"/>
        </w:numPr>
      </w:pPr>
      <w:r>
        <w:t xml:space="preserve">citações: MOYNIHAN; HERD; HARVEY, 2015; FINKELSTEIN; NOTOWIDIGDO, 2019</w:t>
      </w:r>
    </w:p>
    <w:p>
      <w:pPr>
        <w:pStyle w:val="Compact"/>
        <w:numPr>
          <w:ilvl w:val="0"/>
          <w:numId w:val="1157"/>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3"/>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4"/>
        </w:numPr>
      </w:pPr>
      <w:r>
        <w:t xml:space="preserve">citações: ESPÍRITO SANTO, 2021b, art. 14; SECULT, 2026e; SECULT, 2026d</w:t>
      </w:r>
    </w:p>
    <w:p>
      <w:pPr>
        <w:pStyle w:val="Compact"/>
        <w:numPr>
          <w:ilvl w:val="1"/>
          <w:numId w:val="1185"/>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6"/>
        </w:numPr>
      </w:pPr>
      <w:r>
        <w:t xml:space="preserve">citações: SECULT, 2025c</w:t>
      </w:r>
    </w:p>
    <w:p>
      <w:pPr>
        <w:pStyle w:val="Compact"/>
        <w:numPr>
          <w:ilvl w:val="1"/>
          <w:numId w:val="1187"/>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8"/>
        </w:numPr>
      </w:pPr>
      <w:r>
        <w:t xml:space="preserve">citações: SECULT, 2025a, arts. 40, 41 e 45</w:t>
      </w:r>
    </w:p>
    <w:p>
      <w:pPr>
        <w:pStyle w:val="Compact"/>
        <w:numPr>
          <w:ilvl w:val="2"/>
          <w:numId w:val="1188"/>
        </w:numPr>
      </w:pPr>
      <w:r>
        <w:t xml:space="preserve">⚠ números sem checagem automática (conferir na fonte citada): 35%</w:t>
      </w:r>
    </w:p>
    <w:p>
      <w:pPr>
        <w:pStyle w:val="Compact"/>
        <w:numPr>
          <w:ilvl w:val="1"/>
          <w:numId w:val="1189"/>
        </w:numPr>
      </w:pPr>
      <w:r>
        <w:rPr>
          <w:b/>
          <w:bCs/>
        </w:rPr>
        <w:t xml:space="preserve">[4.2.7.4]</w:t>
      </w:r>
      <w:r>
        <w:t xml:space="preserve"> </w:t>
      </w:r>
      <w:r>
        <w:t xml:space="preserve">As atas de 158 reuniões com deliberação, de 2022 a 2026, listam 86 projetos inabilitados, 15% dos deliberados, sem motivo nem critério publicados (SECULT, 2026f).</w:t>
      </w:r>
    </w:p>
    <w:p>
      <w:pPr>
        <w:pStyle w:val="Compact"/>
        <w:numPr>
          <w:ilvl w:val="2"/>
          <w:numId w:val="1190"/>
        </w:numPr>
      </w:pPr>
      <w:r>
        <w:t xml:space="preserve">citações: SECULT, 2026f</w:t>
      </w:r>
    </w:p>
    <w:p>
      <w:pPr>
        <w:pStyle w:val="Compact"/>
        <w:numPr>
          <w:ilvl w:val="2"/>
          <w:numId w:val="1190"/>
        </w:numPr>
      </w:pPr>
      <w:r>
        <w:t xml:space="preserve">checagem de dados: N60 ✔ (</w:t>
      </w:r>
      <w:r>
        <w:rPr>
          <w:rStyle w:val="VerbatimChar"/>
        </w:rPr>
        <w:t xml:space="preserve">analise/tabelas/12_cap_deliberacoes.csv</w:t>
      </w:r>
      <w:r>
        <w:t xml:space="preserve">)</w:t>
      </w:r>
    </w:p>
    <w:p>
      <w:pPr>
        <w:pStyle w:val="Compact"/>
        <w:numPr>
          <w:ilvl w:val="1"/>
          <w:numId w:val="1191"/>
        </w:numPr>
      </w:pPr>
      <w:r>
        <w:rPr>
          <w:b/>
          <w:bCs/>
        </w:rPr>
        <w:t xml:space="preserve">[4.2.7.5]</w:t>
      </w:r>
      <w:r>
        <w:t xml:space="preserve"> </w:t>
      </w:r>
      <w:r>
        <w:t xml:space="preserve">A habilitação qualifica, mas não prioriza, e o que excedeu o teto em 2023-2025 ficou de fora pela regra da ordem de chegada e validação (SECULT, 2026c), cuja aplicação só as horas de protocolo dos recusados, não publicadas, permitiriam conferir.</w:t>
      </w:r>
    </w:p>
    <w:p>
      <w:pPr>
        <w:pStyle w:val="Compact"/>
        <w:numPr>
          <w:ilvl w:val="2"/>
          <w:numId w:val="1192"/>
        </w:numPr>
      </w:pPr>
      <w:r>
        <w:t xml:space="preserve">citações: SECULT, 2026c</w:t>
      </w:r>
    </w:p>
    <w:p>
      <w:pPr>
        <w:pStyle w:val="Compact"/>
        <w:numPr>
          <w:ilvl w:val="1"/>
          <w:numId w:val="1193"/>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4"/>
        </w:numPr>
      </w:pPr>
      <w:r>
        <w:t xml:space="preserve">citações: SECULT, 2026g</w:t>
      </w:r>
    </w:p>
    <w:p>
      <w:pPr>
        <w:pStyle w:val="Compact"/>
        <w:numPr>
          <w:ilvl w:val="0"/>
          <w:numId w:val="1157"/>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5"/>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6"/>
        </w:numPr>
      </w:pPr>
      <w:r>
        <w:t xml:space="preserve">citações: SECULT, 2025a, arts. 23, 55 e 64</w:t>
      </w:r>
    </w:p>
    <w:p>
      <w:pPr>
        <w:pStyle w:val="Compact"/>
        <w:numPr>
          <w:ilvl w:val="2"/>
          <w:numId w:val="1196"/>
        </w:numPr>
      </w:pPr>
      <w:r>
        <w:t xml:space="preserve">checagem de dados: N54 ✔ (</w:t>
      </w:r>
      <w:r>
        <w:rPr>
          <w:rStyle w:val="VerbatimChar"/>
        </w:rPr>
        <w:t xml:space="preserve">analise/tabelas/10_rubricas_teto_in.csv (2025)</w:t>
      </w:r>
      <w:r>
        <w:t xml:space="preserve">)</w:t>
      </w:r>
    </w:p>
    <w:p>
      <w:pPr>
        <w:pStyle w:val="Compact"/>
        <w:numPr>
          <w:ilvl w:val="1"/>
          <w:numId w:val="1197"/>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8"/>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9"/>
        </w:numPr>
      </w:pPr>
      <w:r>
        <w:t xml:space="preserve">citações: O’HAGAN; HARVEY, 2000; BERTRAND</w:t>
      </w:r>
      <w:r>
        <w:t xml:space="preserve"> </w:t>
      </w:r>
      <w:r>
        <w:rPr>
          <w:i/>
          <w:iCs/>
        </w:rPr>
        <w:t xml:space="preserve">et al.</w:t>
      </w:r>
      <w:r>
        <w:t xml:space="preserve">, 2020</w:t>
      </w:r>
    </w:p>
    <w:p>
      <w:pPr>
        <w:pStyle w:val="Compact"/>
        <w:numPr>
          <w:ilvl w:val="1"/>
          <w:numId w:val="1200"/>
        </w:numPr>
      </w:pPr>
      <w:r>
        <w:rPr>
          <w:b/>
          <w:bCs/>
        </w:rPr>
        <w:t xml:space="preserve">[4.2.8.4]</w:t>
      </w:r>
      <w:r>
        <w:t xml:space="preserve"> </w:t>
      </w:r>
      <w:r>
        <w:t xml:space="preserve">Com o dado público, marca e valor público não se separam, porque os eventos grandes e antigos são os mais visíveis e os de maior público: a premissa fica indeterminada.</w:t>
      </w:r>
    </w:p>
    <w:p>
      <w:pPr>
        <w:pStyle w:val="Compact"/>
        <w:numPr>
          <w:ilvl w:val="1"/>
          <w:numId w:val="1201"/>
        </w:numPr>
      </w:pPr>
      <w:r>
        <w:rPr>
          <w:b/>
          <w:bCs/>
        </w:rPr>
        <w:t xml:space="preserve">[4.2.8.5]</w:t>
      </w:r>
      <w:r>
        <w:t xml:space="preserve"> </w:t>
      </w:r>
      <w:r>
        <w:t xml:space="preserve">Sob crédito integral, escolher pela marca é o esperado.</w:t>
      </w:r>
    </w:p>
    <w:p>
      <w:pPr>
        <w:pStyle w:val="Compact"/>
        <w:numPr>
          <w:ilvl w:val="1"/>
          <w:numId w:val="1202"/>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3"/>
        </w:numPr>
      </w:pPr>
      <w:r>
        <w:t xml:space="preserve">citações: BUTERIN; HITZIG; WEYL, 2019</w:t>
      </w:r>
    </w:p>
    <w:p>
      <w:pPr>
        <w:pStyle w:val="Compact"/>
        <w:numPr>
          <w:ilvl w:val="0"/>
          <w:numId w:val="1157"/>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4"/>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5"/>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6"/>
        </w:numPr>
      </w:pPr>
      <w:r>
        <w:t xml:space="preserve">citações: SECULT, 2025a, arts. 26-28</w:t>
      </w:r>
    </w:p>
    <w:p>
      <w:pPr>
        <w:pStyle w:val="Compact"/>
        <w:numPr>
          <w:ilvl w:val="2"/>
          <w:numId w:val="1206"/>
        </w:numPr>
      </w:pPr>
      <w:r>
        <w:t xml:space="preserve">checagem de dados: N53 ✔ (</w:t>
      </w:r>
      <w:r>
        <w:rPr>
          <w:rStyle w:val="VerbatimChar"/>
        </w:rPr>
        <w:t xml:space="preserve">analise/tabelas/10_rubricas_teto_in.csv (2025)</w:t>
      </w:r>
      <w:r>
        <w:t xml:space="preserve">)</w:t>
      </w:r>
    </w:p>
    <w:p>
      <w:pPr>
        <w:pStyle w:val="Compact"/>
        <w:numPr>
          <w:ilvl w:val="2"/>
          <w:numId w:val="1206"/>
        </w:numPr>
      </w:pPr>
      <w:r>
        <w:t xml:space="preserve">⚠ números sem checagem automática (conferir na fonte citada): 1, 3</w:t>
      </w:r>
    </w:p>
    <w:p>
      <w:pPr>
        <w:pStyle w:val="Compact"/>
        <w:numPr>
          <w:ilvl w:val="1"/>
          <w:numId w:val="1207"/>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8"/>
        </w:numPr>
      </w:pPr>
      <w:r>
        <w:t xml:space="preserve">checagem de dados: N50 ✔ (</w:t>
      </w:r>
      <w:r>
        <w:rPr>
          <w:rStyle w:val="VerbatimChar"/>
        </w:rPr>
        <w:t xml:space="preserve">analise/tabelas/10_taxa_servico_permitida_2025.csv</w:t>
      </w:r>
      <w:r>
        <w:t xml:space="preserve">)</w:t>
      </w:r>
    </w:p>
    <w:p>
      <w:pPr>
        <w:pStyle w:val="Compact"/>
        <w:numPr>
          <w:ilvl w:val="1"/>
          <w:numId w:val="1209"/>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10"/>
        </w:numPr>
      </w:pPr>
      <w:r>
        <w:t xml:space="preserve">citações: SECULT, 2026a, art. 28</w:t>
      </w:r>
    </w:p>
    <w:p>
      <w:pPr>
        <w:pStyle w:val="Compact"/>
        <w:numPr>
          <w:ilvl w:val="2"/>
          <w:numId w:val="1210"/>
        </w:numPr>
      </w:pPr>
      <w:r>
        <w:t xml:space="preserve">⚠ números sem checagem automática (conferir na fonte citada): 10%</w:t>
      </w:r>
    </w:p>
    <w:p>
      <w:pPr>
        <w:pStyle w:val="Compact"/>
        <w:numPr>
          <w:ilvl w:val="1"/>
          <w:numId w:val="1211"/>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7"/>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12"/>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3"/>
        </w:numPr>
      </w:pPr>
      <w:r>
        <w:t xml:space="preserve">citações: BRASIL, 2016</w:t>
      </w:r>
    </w:p>
    <w:p>
      <w:pPr>
        <w:pStyle w:val="Compact"/>
        <w:numPr>
          <w:ilvl w:val="2"/>
          <w:numId w:val="1213"/>
        </w:numPr>
      </w:pPr>
      <w:r>
        <w:t xml:space="preserve">⚠ números sem checagem automática (conferir na fonte citada): 30%</w:t>
      </w:r>
    </w:p>
    <w:p>
      <w:pPr>
        <w:pStyle w:val="Compact"/>
        <w:numPr>
          <w:ilvl w:val="1"/>
          <w:numId w:val="1214"/>
        </w:numPr>
      </w:pPr>
      <w:r>
        <w:rPr>
          <w:b/>
          <w:bCs/>
        </w:rPr>
        <w:t xml:space="preserve">[4.2.10.2]</w:t>
      </w:r>
      <w:r>
        <w:t xml:space="preserve"> </w:t>
      </w:r>
      <w:r>
        <w:t xml:space="preserve">A RMGV tem 49% da população e fica com 67% do valor atribuível a um município em 2022-2026.</w:t>
      </w:r>
    </w:p>
    <w:p>
      <w:pPr>
        <w:pStyle w:val="Compact"/>
        <w:numPr>
          <w:ilvl w:val="2"/>
          <w:numId w:val="1215"/>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0"/>
          <w:numId w:val="1157"/>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6"/>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7"/>
        </w:numPr>
      </w:pPr>
      <w:r>
        <w:rPr>
          <w:b/>
          <w:bCs/>
        </w:rPr>
        <w:t xml:space="preserve">[4.2.11.2]</w:t>
      </w:r>
      <w:r>
        <w:t xml:space="preserve"> </w:t>
      </w:r>
      <w:r>
        <w:t xml:space="preserve">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w:t>
      </w:r>
    </w:p>
    <w:p>
      <w:pPr>
        <w:pStyle w:val="Compact"/>
        <w:numPr>
          <w:ilvl w:val="1"/>
          <w:numId w:val="1218"/>
        </w:numPr>
      </w:pPr>
      <w:r>
        <w:rPr>
          <w:b/>
          <w:bCs/>
        </w:rPr>
        <w:t xml:space="preserve">[4.2.11.3]</w:t>
      </w:r>
      <w:r>
        <w:t xml:space="preserve"> </w:t>
      </w:r>
      <w:r>
        <w:t xml:space="preserve">A seção 5 propõe uma avaliação que liga três delas: se a escolha pela marca (H1) deixa de fora quem depende do incentivo (H4) e financia o que ocorreria de todo modo (H5).</w:t>
      </w:r>
    </w:p>
    <w:bookmarkEnd w:id="20"/>
    <w:bookmarkEnd w:id="21"/>
    <w:bookmarkStart w:id="30" w:name="proposta-de-avaliação-de-impacto"/>
    <w:p>
      <w:pPr>
        <w:pStyle w:val="Heading2"/>
      </w:pPr>
      <w:r>
        <w:t xml:space="preserve">5 Proposta de avaliação de impacto</w:t>
      </w:r>
    </w:p>
    <w:bookmarkStart w:id="22" w:name="pergunta-e-parâmetros"/>
    <w:p>
      <w:pPr>
        <w:pStyle w:val="Heading3"/>
      </w:pPr>
      <w:r>
        <w:t xml:space="preserve">5.1 Pergunta e parâmetros</w:t>
      </w:r>
    </w:p>
    <w:p>
      <w:pPr>
        <w:pStyle w:val="Compact"/>
        <w:numPr>
          <w:ilvl w:val="0"/>
          <w:numId w:val="1219"/>
        </w:numPr>
      </w:pPr>
      <w:r>
        <w:rPr>
          <w:b/>
          <w:bCs/>
        </w:rPr>
        <w:t xml:space="preserve">5.1.1</w:t>
      </w:r>
      <w:r>
        <w:t xml:space="preserve"> </w:t>
      </w:r>
      <w:r>
        <w:t xml:space="preserve">—</w:t>
      </w:r>
      <w:r>
        <w:t xml:space="preserve"> </w:t>
      </w:r>
      <w:r>
        <w:rPr>
          <w:i/>
          <w:iCs/>
        </w:rPr>
        <w:t xml:space="preserve">Passo:</w:t>
      </w:r>
      <w:r>
        <w:t xml:space="preserve"> </w:t>
      </w:r>
      <w:r>
        <w:t xml:space="preserve">(a definir)</w:t>
      </w:r>
    </w:p>
    <w:p>
      <w:pPr>
        <w:pStyle w:val="Compact"/>
        <w:numPr>
          <w:ilvl w:val="1"/>
          <w:numId w:val="1220"/>
        </w:numPr>
      </w:pPr>
      <w:r>
        <w:rPr>
          <w:b/>
          <w:bCs/>
        </w:rPr>
        <w:t xml:space="preserve">[5.1.1.1]</w:t>
      </w:r>
      <w:r>
        <w:t xml:space="preserve"> </w:t>
      </w: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74).</w:t>
      </w:r>
    </w:p>
    <w:p>
      <w:pPr>
        <w:pStyle w:val="Compact"/>
        <w:numPr>
          <w:ilvl w:val="2"/>
          <w:numId w:val="1221"/>
        </w:numPr>
      </w:pPr>
      <w:r>
        <w:t xml:space="preserve">citações: GERTLER</w:t>
      </w:r>
      <w:r>
        <w:t xml:space="preserve"> </w:t>
      </w:r>
      <w:r>
        <w:rPr>
          <w:i/>
          <w:iCs/>
        </w:rPr>
        <w:t xml:space="preserve">et al.</w:t>
      </w:r>
      <w:r>
        <w:t xml:space="preserve">, 2018, p. 74</w:t>
      </w:r>
    </w:p>
    <w:p>
      <w:pPr>
        <w:pStyle w:val="Compact"/>
        <w:numPr>
          <w:ilvl w:val="1"/>
          <w:numId w:val="1222"/>
        </w:numPr>
      </w:pPr>
      <w:r>
        <w:rPr>
          <w:b/>
          <w:bCs/>
        </w:rPr>
        <w:t xml:space="preserve">[5.1.1.2]</w:t>
      </w:r>
      <w:r>
        <w:t xml:space="preserve"> </w:t>
      </w:r>
      <w:r>
        <w:t xml:space="preserve">A LICC combina duas.</w:t>
      </w:r>
    </w:p>
    <w:p>
      <w:pPr>
        <w:pStyle w:val="Compact"/>
        <w:numPr>
          <w:ilvl w:val="1"/>
          <w:numId w:val="1223"/>
        </w:numPr>
      </w:pPr>
      <w:r>
        <w:rPr>
          <w:b/>
          <w:bCs/>
        </w:rPr>
        <w:t xml:space="preserve">[5.1.1.3]</w:t>
      </w:r>
      <w:r>
        <w:t xml:space="preserve"> </w:t>
      </w:r>
      <w:r>
        <w:t xml:space="preserve">A primeira é a preferência de quem recolhe o imposto, que o Estado não observa; a segunda é a ordem de chegada dos termos à SEFAZ.</w:t>
      </w:r>
    </w:p>
    <w:p>
      <w:pPr>
        <w:pStyle w:val="Compact"/>
        <w:numPr>
          <w:ilvl w:val="1"/>
          <w:numId w:val="1224"/>
        </w:numPr>
      </w:pPr>
      <w:r>
        <w:rPr>
          <w:b/>
          <w:bCs/>
        </w:rPr>
        <w:t xml:space="preserve">[5.1.1.4]</w:t>
      </w:r>
      <w:r>
        <w:t xml:space="preserve"> </w:t>
      </w:r>
      <w:r>
        <w:t xml:space="preserve">A CAP qualifica, mas não ordena (seção 4.2).</w:t>
      </w:r>
    </w:p>
    <w:p>
      <w:pPr>
        <w:pStyle w:val="Compact"/>
        <w:numPr>
          <w:ilvl w:val="1"/>
          <w:numId w:val="1225"/>
        </w:numPr>
      </w:pPr>
      <w:r>
        <w:rPr>
          <w:b/>
          <w:bCs/>
        </w:rPr>
        <w:t xml:space="preserve">[5.1.1.5]</w:t>
      </w:r>
      <w:r>
        <w:t xml:space="preserve"> </w:t>
      </w:r>
      <w:r>
        <w:t xml:space="preserve">Por isso a avaliação faz uma única pergunta, que reúne H1, H4 e H5:</w:t>
      </w:r>
      <w:r>
        <w:t xml:space="preserve"> </w:t>
      </w:r>
      <w:r>
        <w:rPr>
          <w:b/>
          <w:bCs/>
        </w:rPr>
        <w:t xml:space="preserve">a renúncia vai para os projetos que dependem dela?</w:t>
      </w:r>
    </w:p>
    <w:p>
      <w:pPr>
        <w:pStyle w:val="Compact"/>
        <w:numPr>
          <w:ilvl w:val="1"/>
          <w:numId w:val="1226"/>
        </w:numPr>
      </w:pPr>
      <w:r>
        <w:rPr>
          <w:b/>
          <w:bCs/>
        </w:rPr>
        <w:t xml:space="preserve">[5.1.1.6]</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Compact"/>
        <w:numPr>
          <w:ilvl w:val="0"/>
          <w:numId w:val="1219"/>
        </w:numPr>
      </w:pPr>
      <w:r>
        <w:rPr>
          <w:b/>
          <w:bCs/>
        </w:rPr>
        <w:t xml:space="preserve">5.1.2</w:t>
      </w:r>
      <w:r>
        <w:t xml:space="preserve"> </w:t>
      </w:r>
      <w:r>
        <w:t xml:space="preserve">—</w:t>
      </w:r>
      <w:r>
        <w:t xml:space="preserve"> </w:t>
      </w:r>
      <w:r>
        <w:rPr>
          <w:i/>
          <w:iCs/>
        </w:rPr>
        <w:t xml:space="preserve">Passo:</w:t>
      </w:r>
      <w:r>
        <w:t xml:space="preserve"> </w:t>
      </w:r>
      <w:r>
        <w:t xml:space="preserve">(a definir)</w:t>
      </w:r>
    </w:p>
    <w:p>
      <w:pPr>
        <w:pStyle w:val="Compact"/>
        <w:numPr>
          <w:ilvl w:val="1"/>
          <w:numId w:val="1227"/>
        </w:numPr>
      </w:pPr>
      <w:r>
        <w:rPr>
          <w:b/>
          <w:bCs/>
        </w:rPr>
        <w:t xml:space="preserve">[5.1.2.1]</w:t>
      </w:r>
      <w:r>
        <w:t xml:space="preserve"> </w:t>
      </w: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w:t>
      </w:r>
    </w:p>
    <w:p>
      <w:pPr>
        <w:pStyle w:val="Compact"/>
        <w:numPr>
          <w:ilvl w:val="2"/>
          <w:numId w:val="1228"/>
        </w:numPr>
      </w:pPr>
      <w:r>
        <w:t xml:space="preserve">⚠ números sem checagem automática (conferir na fonte citada): 1</w:t>
      </w:r>
    </w:p>
    <w:p>
      <w:pPr>
        <w:pStyle w:val="Compact"/>
        <w:numPr>
          <w:ilvl w:val="1"/>
          <w:numId w:val="1229"/>
        </w:numPr>
      </w:pPr>
      <w:r>
        <w:rPr>
          <w:b/>
          <w:bCs/>
        </w:rPr>
        <w:t xml:space="preserve">[5.1.2.2]</w:t>
      </w:r>
      <w:r>
        <w:t xml:space="preserve"> </w:t>
      </w:r>
      <w:r>
        <w:t xml:space="preserve">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w:t>
      </w:r>
    </w:p>
    <w:p>
      <w:pPr>
        <w:pStyle w:val="Compact"/>
        <w:numPr>
          <w:ilvl w:val="2"/>
          <w:numId w:val="1230"/>
        </w:numPr>
      </w:pPr>
      <w:r>
        <w:t xml:space="preserve">citações: FOGUEL, 2017, p. 49</w:t>
      </w:r>
    </w:p>
    <w:p>
      <w:pPr>
        <w:pStyle w:val="Compact"/>
        <w:numPr>
          <w:ilvl w:val="2"/>
          <w:numId w:val="1230"/>
        </w:numPr>
      </w:pPr>
      <w:r>
        <w:t xml:space="preserve">⚠ números sem checagem automática (conferir na fonte citada): 1, 0</w:t>
      </w:r>
    </w:p>
    <w:p>
      <w:pPr>
        <w:pStyle w:val="Compact"/>
        <w:numPr>
          <w:ilvl w:val="1"/>
          <w:numId w:val="1231"/>
        </w:numPr>
      </w:pPr>
      <w:r>
        <w:rPr>
          <w:b/>
          <w:bCs/>
        </w:rPr>
        <w:t xml:space="preserve">[5.1.2.3]</w:t>
      </w:r>
      <w:r>
        <w:t xml:space="preserve"> </w:t>
      </w:r>
      <w:r>
        <w:t xml:space="preserve">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w:t>
      </w:r>
    </w:p>
    <w:p>
      <w:pPr>
        <w:pStyle w:val="Compact"/>
        <w:numPr>
          <w:ilvl w:val="2"/>
          <w:numId w:val="1232"/>
        </w:numPr>
      </w:pPr>
      <w:r>
        <w:t xml:space="preserve">citações: FOGUEL, 2017, p. 50</w:t>
      </w:r>
    </w:p>
    <w:p>
      <w:pPr>
        <w:pStyle w:val="Compact"/>
        <w:numPr>
          <w:ilvl w:val="1"/>
          <w:numId w:val="1233"/>
        </w:numPr>
      </w:pPr>
      <w:r>
        <w:rPr>
          <w:b/>
          <w:bCs/>
        </w:rPr>
        <w:t xml:space="preserve">[5.1.2.4]</w:t>
      </w:r>
      <w:r>
        <w:t xml:space="preserve"> </w:t>
      </w:r>
      <w:r>
        <w:t xml:space="preserve">Numa avaliação de programa,</w:t>
      </w:r>
      <w:r>
        <w:t xml:space="preserve"> </w:t>
      </w:r>
      <w:r>
        <w:rPr>
          <w:i/>
          <w:iCs/>
        </w:rPr>
        <w:t xml:space="preserve">V</w:t>
      </w:r>
      <w:r>
        <w:t xml:space="preserve"> </w:t>
      </w:r>
      <w:r>
        <w:t xml:space="preserve">é o erro a eliminar.</w:t>
      </w:r>
    </w:p>
    <w:p>
      <w:pPr>
        <w:pStyle w:val="Compact"/>
        <w:numPr>
          <w:ilvl w:val="1"/>
          <w:numId w:val="1234"/>
        </w:numPr>
      </w:pPr>
      <w:r>
        <w:rPr>
          <w:b/>
          <w:bCs/>
        </w:rPr>
        <w:t xml:space="preserve">[5.1.2.5]</w:t>
      </w:r>
      <w:r>
        <w:t xml:space="preserve"> </w:t>
      </w:r>
      <w:r>
        <w:t xml:space="preserve">Aqui ele é o objeto: mede o quanto o mecanismo prefere projetos que aconteceriam de todo modo.</w:t>
      </w:r>
    </w:p>
    <w:p>
      <w:pPr>
        <w:pStyle w:val="Compact"/>
        <w:numPr>
          <w:ilvl w:val="0"/>
          <w:numId w:val="1219"/>
        </w:numPr>
      </w:pPr>
      <w:r>
        <w:rPr>
          <w:b/>
          <w:bCs/>
        </w:rPr>
        <w:t xml:space="preserve">5.1.3</w:t>
      </w:r>
      <w:r>
        <w:t xml:space="preserve"> </w:t>
      </w:r>
      <w:r>
        <w:t xml:space="preserve">—</w:t>
      </w:r>
      <w:r>
        <w:t xml:space="preserve"> </w:t>
      </w:r>
      <w:r>
        <w:rPr>
          <w:i/>
          <w:iCs/>
        </w:rPr>
        <w:t xml:space="preserve">Passo:</w:t>
      </w:r>
      <w:r>
        <w:t xml:space="preserve"> </w:t>
      </w:r>
      <w:r>
        <w:t xml:space="preserve">(a definir)</w:t>
      </w:r>
    </w:p>
    <w:p>
      <w:pPr>
        <w:pStyle w:val="Compact"/>
        <w:numPr>
          <w:ilvl w:val="1"/>
          <w:numId w:val="1235"/>
        </w:numPr>
      </w:pPr>
      <w:r>
        <w:rPr>
          <w:b/>
          <w:bCs/>
        </w:rPr>
        <w:t xml:space="preserve">[5.1.3.1]</w:t>
      </w:r>
      <w:r>
        <w:t xml:space="preserve"> </w:t>
      </w:r>
      <w:r>
        <w:t xml:space="preserve">A hipótese do artigo é</w:t>
      </w:r>
      <w:r>
        <w:t xml:space="preserve"> </w:t>
      </w:r>
      <w:r>
        <w:rPr>
          <w:i/>
          <w:iCs/>
        </w:rPr>
        <w:t xml:space="preserve">V</w:t>
      </w:r>
      <w:r>
        <w:t xml:space="preserve"> </w:t>
      </w:r>
      <w:r>
        <w:t xml:space="preserve">&gt; 0, concentrado nos projetos grandes e recorrentes.</w:t>
      </w:r>
    </w:p>
    <w:p>
      <w:pPr>
        <w:pStyle w:val="Compact"/>
        <w:numPr>
          <w:ilvl w:val="2"/>
          <w:numId w:val="1236"/>
        </w:numPr>
      </w:pPr>
      <w:r>
        <w:t xml:space="preserve">⚠ números sem checagem automática (conferir na fonte citada): 0</w:t>
      </w:r>
    </w:p>
    <w:p>
      <w:pPr>
        <w:pStyle w:val="Compact"/>
        <w:numPr>
          <w:ilvl w:val="1"/>
          <w:numId w:val="1237"/>
        </w:numPr>
      </w:pPr>
      <w:r>
        <w:rPr>
          <w:b/>
          <w:bCs/>
        </w:rPr>
        <w:t xml:space="preserve">[5.1.3.2]</w:t>
      </w:r>
      <w:r>
        <w:t xml:space="preserve"> </w:t>
      </w:r>
      <w:r>
        <w:t xml:space="preserve">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w:t>
      </w:r>
    </w:p>
    <w:p>
      <w:pPr>
        <w:pStyle w:val="Compact"/>
        <w:numPr>
          <w:ilvl w:val="2"/>
          <w:numId w:val="1238"/>
        </w:numPr>
      </w:pPr>
      <w:r>
        <w:t xml:space="preserve">citações: FOGUEL, 2017, p. 47</w:t>
      </w:r>
    </w:p>
    <w:p>
      <w:pPr>
        <w:pStyle w:val="Compact"/>
        <w:numPr>
          <w:ilvl w:val="1"/>
          <w:numId w:val="1239"/>
        </w:numPr>
      </w:pPr>
      <w:r>
        <w:rPr>
          <w:b/>
          <w:bCs/>
        </w:rPr>
        <w:t xml:space="preserve">[5.1.3.3]</w:t>
      </w:r>
      <w:r>
        <w:t xml:space="preserve"> </w:t>
      </w:r>
      <w:r>
        <w:t xml:space="preserve">O mecanismo tampouco registra quantos valorizam um projeto (BUTERIN; HITZIG; WEYL, 2019): 152 dos 213 projetos com termo em 2022-2025 (71%), com 68% do valor, têm um só patrocinador (ESPÍRITO SANTO, 2026a).</w:t>
      </w:r>
    </w:p>
    <w:p>
      <w:pPr>
        <w:pStyle w:val="Compact"/>
        <w:numPr>
          <w:ilvl w:val="2"/>
          <w:numId w:val="1240"/>
        </w:numPr>
      </w:pPr>
      <w:r>
        <w:t xml:space="preserve">citações: BUTERIN; HITZIG; WEYL, 2019; ESPÍRITO SANTO, 2026a</w:t>
      </w:r>
    </w:p>
    <w:p>
      <w:pPr>
        <w:pStyle w:val="Compact"/>
        <w:numPr>
          <w:ilvl w:val="2"/>
          <w:numId w:val="1240"/>
        </w:numPr>
      </w:pPr>
      <w:r>
        <w:t xml:space="preserve">checagem de dados: N84 ✔ (</w:t>
      </w:r>
      <w:r>
        <w:rPr>
          <w:rStyle w:val="VerbatimChar"/>
        </w:rPr>
        <w:t xml:space="preserve">analise/tabelas/20_patrocinadores_por_projeto.csv</w:t>
      </w:r>
      <w:r>
        <w:t xml:space="preserve">)</w:t>
      </w:r>
    </w:p>
    <w:p>
      <w:pPr>
        <w:pStyle w:val="Compact"/>
        <w:numPr>
          <w:ilvl w:val="1"/>
          <w:numId w:val="1241"/>
        </w:numPr>
      </w:pPr>
      <w:r>
        <w:rPr>
          <w:b/>
          <w:bCs/>
        </w:rPr>
        <w:t xml:space="preserve">[5.1.3.4]</w:t>
      </w:r>
      <w:r>
        <w:t xml:space="preserve"> </w:t>
      </w:r>
      <w:r>
        <w:t xml:space="preserve">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w:t>
      </w:r>
    </w:p>
    <w:p>
      <w:pPr>
        <w:pStyle w:val="Compact"/>
        <w:numPr>
          <w:ilvl w:val="2"/>
          <w:numId w:val="1242"/>
        </w:numPr>
      </w:pPr>
      <w:r>
        <w:t xml:space="preserve">citações: GERTLER</w:t>
      </w:r>
      <w:r>
        <w:t xml:space="preserve"> </w:t>
      </w:r>
      <w:r>
        <w:rPr>
          <w:i/>
          <w:iCs/>
        </w:rPr>
        <w:t xml:space="preserve">et al.</w:t>
      </w:r>
      <w:r>
        <w:t xml:space="preserve">, 2018</w:t>
      </w:r>
    </w:p>
    <w:p>
      <w:pPr>
        <w:pStyle w:val="Compact"/>
        <w:numPr>
          <w:ilvl w:val="1"/>
          <w:numId w:val="1243"/>
        </w:numPr>
      </w:pPr>
      <w:r>
        <w:rPr>
          <w:b/>
          <w:bCs/>
        </w:rPr>
        <w:t xml:space="preserve">[5.1.3.5]</w:t>
      </w:r>
      <w:r>
        <w:t xml:space="preserve"> </w:t>
      </w:r>
      <w:r>
        <w:t xml:space="preserve">O Quadro 3 resume os parâmetros.</w:t>
      </w:r>
    </w:p>
    <w:bookmarkEnd w:id="22"/>
    <w:bookmarkStart w:id="23" w:name="X3d9130df22618827f2fd5bb7df3b06cbad1ce01"/>
    <w:p>
      <w:pPr>
        <w:pStyle w:val="Heading3"/>
      </w:pPr>
      <w:r>
        <w:t xml:space="preserve">Quadro 3 – Parâmetros, grupos de comparação e regras de decisão</w:t>
      </w:r>
    </w:p>
    <w:p>
      <w:pPr>
        <w:pStyle w:val="Compact"/>
        <w:numPr>
          <w:ilvl w:val="0"/>
          <w:numId w:val="1244"/>
        </w:numPr>
      </w:pPr>
      <w:r>
        <w:rPr>
          <w:b/>
          <w:bCs/>
        </w:rPr>
        <w:t xml:space="preserve">Colunas:</w:t>
      </w:r>
      <w:r>
        <w:t xml:space="preserve"> </w:t>
      </w:r>
      <w:r>
        <w:t xml:space="preserve">Parâmetro · Grupo que o mede · Suposição · Conclusão se</w:t>
      </w:r>
    </w:p>
    <w:p>
      <w:pPr>
        <w:pStyle w:val="Compact"/>
        <w:numPr>
          <w:ilvl w:val="1"/>
          <w:numId w:val="1245"/>
        </w:numPr>
      </w:pPr>
      <m:oMath>
        <m:sSub>
          <m:e>
            <m:r>
              <m:t>θ</m:t>
            </m:r>
          </m:e>
          <m:sub>
            <m:r>
              <m:t>1</m:t>
            </m:r>
          </m:sub>
        </m:sSub>
      </m:oMath>
      <w:r>
        <w:rPr>
          <w:b/>
          <w:bCs/>
        </w:rPr>
        <w:t xml:space="preserve"> </w:t>
      </w:r>
      <w:r>
        <w:rPr>
          <w:b/>
          <w:bCs/>
        </w:rPr>
        <w:t xml:space="preserve">≈</w:t>
      </w:r>
      <w:r>
        <w:rPr>
          <w:b/>
          <w:bCs/>
        </w:rPr>
        <w:t xml:space="preserve"> </w:t>
      </w:r>
      <m:oMath>
        <m:sSub>
          <m:e>
            <m:r>
              <m:t>E</m:t>
            </m:r>
          </m:e>
          <m:sub>
            <m:r>
              <m:t>10</m:t>
            </m:r>
          </m:sub>
        </m:sSub>
      </m:oMath>
      <w:r>
        <w:rPr>
          <w:b/>
          <w:bCs/>
        </w:rPr>
        <w:t xml:space="preserve">: o que os escolhidos fariam sem a LICC</w:t>
      </w:r>
      <w:r>
        <w:t xml:space="preserve"> </w:t>
      </w:r>
      <w:r>
        <w:t xml:space="preserve">— Termos recusados por esgotamento da cota, que tinham patrocinador — A recusa depende só da hora do protocolo — —</w:t>
      </w:r>
    </w:p>
    <w:p>
      <w:pPr>
        <w:pStyle w:val="Compact"/>
        <w:numPr>
          <w:ilvl w:val="1"/>
          <w:numId w:val="1246"/>
        </w:numPr>
      </w:pPr>
      <m:oMath>
        <m:sSub>
          <m:e>
            <m:r>
              <m:t>θ</m:t>
            </m:r>
          </m:e>
          <m:sub>
            <m:r>
              <m:t>0</m:t>
            </m:r>
          </m:sub>
        </m:sSub>
      </m:oMath>
      <w:r>
        <w:rPr>
          <w:b/>
          <w:bCs/>
        </w:rPr>
        <w:t xml:space="preserve"> </w:t>
      </w:r>
      <w:r>
        <w:rPr>
          <w:b/>
          <w:bCs/>
        </w:rPr>
        <w:t xml:space="preserve">=</w:t>
      </w:r>
      <w:r>
        <w:rPr>
          <w:b/>
          <w:bCs/>
        </w:rPr>
        <w:t xml:space="preserve"> </w:t>
      </w:r>
      <m:oMath>
        <m:sSub>
          <m:e>
            <m:r>
              <m:t>E</m:t>
            </m:r>
          </m:e>
          <m:sub>
            <m:r>
              <m:t>00</m:t>
            </m:r>
          </m:sub>
        </m:sSub>
      </m:oMath>
      <w:r>
        <w:rPr>
          <w:b/>
          <w:bCs/>
        </w:rPr>
        <w:t xml:space="preserve">: o que os preteridos fazem sem a LICC</w:t>
      </w:r>
      <w:r>
        <w:t xml:space="preserve"> </w:t>
      </w:r>
      <w:r>
        <w:t xml:space="preserve">— Habilitados cuja captação expirou — Nenhuma: observável — —</w:t>
      </w:r>
    </w:p>
    <w:p>
      <w:pPr>
        <w:pStyle w:val="Compact"/>
        <w:numPr>
          <w:ilvl w:val="1"/>
          <w:numId w:val="1247"/>
        </w:numPr>
      </w:pPr>
      <w:r>
        <w:rPr>
          <w:b/>
          <w:bCs/>
          <w:i/>
          <w:iCs/>
        </w:rPr>
        <w:t xml:space="preserve">V</w:t>
      </w:r>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w:t>
      </w:r>
      <w:r>
        <w:rPr>
          <w:b/>
          <w:bCs/>
        </w:rPr>
        <w:t xml:space="preserve"> </w:t>
      </w:r>
      <m:oMath>
        <m:sSub>
          <m:e>
            <m:r>
              <m:t>θ</m:t>
            </m:r>
          </m:e>
          <m:sub>
            <m:r>
              <m:t>0</m:t>
            </m:r>
          </m:sub>
        </m:sSub>
      </m:oMath>
      <w:r>
        <w:rPr>
          <w:b/>
          <w:bCs/>
        </w:rPr>
        <w:t xml:space="preserve"> </w:t>
      </w:r>
      <w:r>
        <w:rPr>
          <w:b/>
          <w:bCs/>
        </w:rPr>
        <w:t xml:space="preserve">(H1, H4)</w:t>
      </w:r>
      <w:r>
        <w:t xml:space="preserve"> </w:t>
      </w:r>
      <w:r>
        <w:t xml:space="preserve">— Recusados × expirados, por faixa de valor — As duas acima —</w:t>
      </w:r>
      <w:r>
        <w:t xml:space="preserve"> </w:t>
      </w:r>
      <w:r>
        <w:rPr>
          <w:i/>
          <w:iCs/>
        </w:rPr>
        <w:t xml:space="preserve">V</w:t>
      </w:r>
      <w:r>
        <w:t xml:space="preserve"> </w:t>
      </w:r>
      <w:r>
        <w:t xml:space="preserve">&gt; 0, maior nos pedidos grandes: a renúncia vai a quem menos depende dela</w:t>
      </w:r>
    </w:p>
    <w:p>
      <w:pPr>
        <w:pStyle w:val="Compact"/>
        <w:numPr>
          <w:ilvl w:val="2"/>
          <w:numId w:val="1248"/>
        </w:numPr>
      </w:pPr>
      <w:r>
        <w:t xml:space="preserve">⚠ números sem checagem automática (conferir na fonte citada): 0</w:t>
      </w:r>
    </w:p>
    <w:p>
      <w:pPr>
        <w:pStyle w:val="Compact"/>
        <w:numPr>
          <w:ilvl w:val="1"/>
          <w:numId w:val="1249"/>
        </w:numPr>
      </w:pPr>
      <w:r>
        <w:rPr>
          <w:b/>
          <w:bCs/>
        </w:rPr>
        <w:t xml:space="preserve">EMPT na margem =</w:t>
      </w:r>
      <w:r>
        <w:rPr>
          <w:b/>
          <w:bCs/>
        </w:rPr>
        <w:t xml:space="preserve"> </w:t>
      </w:r>
      <m:oMath>
        <m:sSub>
          <m:e>
            <m:r>
              <m:t>E</m:t>
            </m:r>
          </m:e>
          <m:sub>
            <m:r>
              <m:t>11</m:t>
            </m:r>
          </m:sub>
        </m:sSub>
      </m:oMath>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(H5)</w:t>
      </w:r>
      <w:r>
        <w:t xml:space="preserve"> </w:t>
      </w:r>
      <w:r>
        <w:t xml:space="preserve">— Últimos validados de cada cota × recusados — Idem — EMPT próximo de zero: ampliar o teto financia o que ocorreria de todo modo</w:t>
      </w:r>
    </w:p>
    <w:p>
      <w:pPr>
        <w:pStyle w:val="Compact"/>
        <w:numPr>
          <w:ilvl w:val="1"/>
          <w:numId w:val="1250"/>
        </w:numPr>
      </w:pPr>
      <w:r>
        <w:rPr>
          <w:b/>
          <w:bCs/>
        </w:rPr>
        <w:t xml:space="preserve">Filtro da CAP (H2)</w:t>
      </w:r>
      <w:r>
        <w:t xml:space="preserve"> </w:t>
      </w:r>
      <w:r>
        <w:t xml:space="preserve">— Expirados × inabilitados — Inabilitados sem patrocínio pela LICC — Mesma realização: o filtro não separa necessidade de financiamento</w:t>
      </w:r>
    </w:p>
    <w:p>
      <w:pPr>
        <w:pStyle w:val="Compact"/>
        <w:numPr>
          <w:ilvl w:val="1"/>
          <w:numId w:val="1251"/>
        </w:numPr>
      </w:pPr>
      <w:r>
        <w:rPr>
          <w:b/>
          <w:bCs/>
        </w:rPr>
        <w:t xml:space="preserve">Substituição (lado da empresa)</w:t>
      </w:r>
      <w:r>
        <w:t xml:space="preserve"> </w:t>
      </w:r>
      <w:r>
        <w:t xml:space="preserve">— Recusados pagos pelo mesmo patrocinador fora da LICC — Resposta do patrocinador — Fração alta: o crédito paga patrocínio que ocorreria sem ele</w:t>
      </w:r>
    </w:p>
    <w:p>
      <w:pPr>
        <w:pStyle w:val="Compact"/>
        <w:numPr>
          <w:ilvl w:val="0"/>
          <w:numId w:val="1244"/>
        </w:numPr>
      </w:pPr>
      <w:r>
        <w:rPr>
          <w:b/>
          <w:bCs/>
        </w:rPr>
        <w:t xml:space="preserve">5.1.4</w:t>
      </w:r>
      <w:r>
        <w:t xml:space="preserve"> </w:t>
      </w:r>
      <w:r>
        <w:t xml:space="preserve">(fonte do quadro, tabela ou figura)</w:t>
      </w:r>
    </w:p>
    <w:p>
      <w:pPr>
        <w:pStyle w:val="Compact"/>
        <w:numPr>
          <w:ilvl w:val="1"/>
          <w:numId w:val="1252"/>
        </w:numPr>
      </w:pPr>
      <w:r>
        <w:rPr>
          <w:b/>
          <w:bCs/>
        </w:rPr>
        <w:t xml:space="preserve">[5.1.4.1]</w:t>
      </w:r>
      <w:r>
        <w:t xml:space="preserve"> </w:t>
      </w:r>
      <w:r>
        <w:t xml:space="preserve">Fonte: elaboração própria, com base em Foguel (2017) e Gertler</w:t>
      </w:r>
      <w:r>
        <w:t xml:space="preserve"> </w:t>
      </w:r>
      <w:r>
        <w:rPr>
          <w:i/>
          <w:iCs/>
        </w:rPr>
        <w:t xml:space="preserve">et al.</w:t>
      </w:r>
      <w:r>
        <w:t xml:space="preserve"> </w:t>
      </w:r>
      <w:r>
        <w:t xml:space="preserve">(2018).</w:t>
      </w:r>
    </w:p>
    <w:p>
      <w:pPr>
        <w:pStyle w:val="Compact"/>
        <w:numPr>
          <w:ilvl w:val="2"/>
          <w:numId w:val="1253"/>
        </w:numPr>
      </w:pPr>
      <w:r>
        <w:t xml:space="preserve">citações: Foguel (2017); Gertler</w:t>
      </w:r>
      <w:r>
        <w:t xml:space="preserve"> </w:t>
      </w:r>
      <w:r>
        <w:rPr>
          <w:i/>
          <w:iCs/>
        </w:rPr>
        <w:t xml:space="preserve">et al.</w:t>
      </w:r>
      <w:r>
        <w:t xml:space="preserve"> </w:t>
      </w:r>
      <w:r>
        <w:t xml:space="preserve">(2018)</w:t>
      </w:r>
    </w:p>
    <w:bookmarkEnd w:id="23"/>
    <w:bookmarkStart w:id="24" w:name="estratégia-de-identificação"/>
    <w:p>
      <w:pPr>
        <w:pStyle w:val="Heading3"/>
      </w:pPr>
      <w:r>
        <w:t xml:space="preserve">5.2 Estratégia de identificação</w:t>
      </w:r>
    </w:p>
    <w:p>
      <w:pPr>
        <w:pStyle w:val="Compact"/>
        <w:numPr>
          <w:ilvl w:val="0"/>
          <w:numId w:val="1254"/>
        </w:numPr>
      </w:pPr>
      <w:r>
        <w:rPr>
          <w:b/>
          <w:bCs/>
        </w:rPr>
        <w:t xml:space="preserve">5.2.1</w:t>
      </w:r>
      <w:r>
        <w:t xml:space="preserve"> </w:t>
      </w:r>
      <w:r>
        <w:t xml:space="preserve">—</w:t>
      </w:r>
      <w:r>
        <w:t xml:space="preserve"> </w:t>
      </w:r>
      <w:r>
        <w:rPr>
          <w:i/>
          <w:iCs/>
        </w:rPr>
        <w:t xml:space="preserve">Passo:</w:t>
      </w:r>
      <w:r>
        <w:t xml:space="preserve"> </w:t>
      </w:r>
      <w:r>
        <w:t xml:space="preserve">(a definir)</w:t>
      </w:r>
    </w:p>
    <w:p>
      <w:pPr>
        <w:pStyle w:val="Compact"/>
        <w:numPr>
          <w:ilvl w:val="1"/>
          <w:numId w:val="1255"/>
        </w:numPr>
      </w:pPr>
      <w:r>
        <w:rPr>
          <w:b/>
          <w:bCs/>
        </w:rPr>
        <w:t xml:space="preserve">[5.2.1.1]</w:t>
      </w:r>
      <w:r>
        <w:t xml:space="preserve"> </w:t>
      </w:r>
      <w:r>
        <w:t xml:space="preserve">Nenhum grupo precisa ser criado: a regra atual já os produz, e falta acompanhá-los.</w:t>
      </w:r>
    </w:p>
    <w:p>
      <w:pPr>
        <w:pStyle w:val="Compact"/>
        <w:numPr>
          <w:ilvl w:val="1"/>
          <w:numId w:val="1256"/>
        </w:numPr>
      </w:pPr>
      <w:r>
        <w:rPr>
          <w:b/>
          <w:bCs/>
        </w:rPr>
        <w:t xml:space="preserve">[5.2.1.2]</w:t>
      </w:r>
      <w:r>
        <w:t xml:space="preserve"> </w:t>
      </w:r>
      <w:r>
        <w:t xml:space="preserve">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w:t>
      </w:r>
    </w:p>
    <w:p>
      <w:pPr>
        <w:pStyle w:val="Compact"/>
        <w:numPr>
          <w:ilvl w:val="1"/>
          <w:numId w:val="1257"/>
        </w:numPr>
      </w:pPr>
      <w:r>
        <w:rPr>
          <w:b/>
          <w:bCs/>
        </w:rPr>
        <w:t xml:space="preserve">[5.2.1.3]</w:t>
      </w:r>
      <w:r>
        <w:t xml:space="preserve"> </w:t>
      </w:r>
      <w:r>
        <w:t xml:space="preserve">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w:t>
      </w:r>
    </w:p>
    <w:p>
      <w:pPr>
        <w:pStyle w:val="Compact"/>
        <w:numPr>
          <w:ilvl w:val="1"/>
          <w:numId w:val="1258"/>
        </w:numPr>
      </w:pPr>
      <w:r>
        <w:rPr>
          <w:b/>
          <w:bCs/>
        </w:rPr>
        <w:t xml:space="preserve">[5.2.1.4]</w:t>
      </w:r>
      <w:r>
        <w:t xml:space="preserve"> </w:t>
      </w:r>
      <w:r>
        <w:t xml:space="preserve">Os expirados, que nenhuma empresa escolheu, dão</w:t>
      </w:r>
      <w:r>
        <w:t xml:space="preserve"> </w:t>
      </w:r>
      <m:oMath>
        <m:sSub>
          <m:e>
            <m:r>
              <m:t>E</m:t>
            </m:r>
          </m:e>
          <m:sub>
            <m:r>
              <m:t>00</m:t>
            </m:r>
          </m:sub>
        </m:sSub>
      </m:oMath>
      <w:r>
        <w:t xml:space="preserve">.</w:t>
      </w:r>
    </w:p>
    <w:p>
      <w:pPr>
        <w:pStyle w:val="Compact"/>
        <w:numPr>
          <w:ilvl w:val="1"/>
          <w:numId w:val="1259"/>
        </w:numPr>
      </w:pPr>
      <w:r>
        <w:rPr>
          <w:b/>
          <w:bCs/>
        </w:rPr>
        <w:t xml:space="preserve">[5.2.1.5]</w:t>
      </w:r>
      <w:r>
        <w:t xml:space="preserve"> </w:t>
      </w:r>
      <w:r>
        <w:t xml:space="preserve">A comparação vale se, entre os escolhidos, a posição na fila não depende do que determina a realização, o que as horas de protocolo e validação (LAI) permitem testar, comparando recusados e últimos validados em valor, antiguidade do evento e recorrência.</w:t>
      </w:r>
    </w:p>
    <w:p>
      <w:pPr>
        <w:pStyle w:val="Compact"/>
        <w:numPr>
          <w:ilvl w:val="1"/>
          <w:numId w:val="1260"/>
        </w:numPr>
      </w:pPr>
      <w:r>
        <w:rPr>
          <w:b/>
          <w:bCs/>
        </w:rPr>
        <w:t xml:space="preserve">[5.2.1.6]</w:t>
      </w:r>
      <w:r>
        <w:t xml:space="preserve"> </w:t>
      </w:r>
      <w:r>
        <w:t xml:space="preserve">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w:t>
      </w:r>
    </w:p>
    <w:p>
      <w:pPr>
        <w:pStyle w:val="Compact"/>
        <w:numPr>
          <w:ilvl w:val="2"/>
          <w:numId w:val="1261"/>
        </w:numPr>
      </w:pPr>
      <w:r>
        <w:t xml:space="preserve">checagem de dados: N89 ✔ (</w:t>
      </w:r>
      <w:r>
        <w:rPr>
          <w:rStyle w:val="VerbatimChar"/>
        </w:rPr>
        <w:t xml:space="preserve">analise/tabelas/23_captacao_por_faixa.csv</w:t>
      </w:r>
      <w:r>
        <w:t xml:space="preserve">)</w:t>
      </w:r>
    </w:p>
    <w:p>
      <w:pPr>
        <w:pStyle w:val="Compact"/>
        <w:numPr>
          <w:ilvl w:val="1"/>
          <w:numId w:val="1262"/>
        </w:numPr>
      </w:pPr>
      <w:r>
        <w:rPr>
          <w:b/>
          <w:bCs/>
        </w:rPr>
        <w:t xml:space="preserve">[5.2.1.7]</w:t>
      </w:r>
      <w:r>
        <w:t xml:space="preserve"> </w:t>
      </w:r>
      <w:r>
        <w:t xml:space="preserve">O estimador é a diferença de proporções num modelo de probabilidade linear com efeitos fixos de ciclo e faixa de valor e erro-padrão robusto.</w:t>
      </w:r>
    </w:p>
    <w:p>
      <w:pPr>
        <w:pStyle w:val="Compact"/>
        <w:numPr>
          <w:ilvl w:val="0"/>
          <w:numId w:val="1254"/>
        </w:numPr>
      </w:pPr>
      <w:r>
        <w:rPr>
          <w:b/>
          <w:bCs/>
        </w:rPr>
        <w:t xml:space="preserve">5.2.2</w:t>
      </w:r>
      <w:r>
        <w:t xml:space="preserve"> </w:t>
      </w:r>
      <w:r>
        <w:t xml:space="preserve">—</w:t>
      </w:r>
      <w:r>
        <w:t xml:space="preserve"> </w:t>
      </w:r>
      <w:r>
        <w:rPr>
          <w:i/>
          <w:iCs/>
        </w:rPr>
        <w:t xml:space="preserve">Passo:</w:t>
      </w:r>
      <w:r>
        <w:t xml:space="preserve"> </w:t>
      </w:r>
      <w:r>
        <w:t xml:space="preserve">(a definir)</w:t>
      </w:r>
    </w:p>
    <w:p>
      <w:pPr>
        <w:pStyle w:val="Compact"/>
        <w:numPr>
          <w:ilvl w:val="1"/>
          <w:numId w:val="1263"/>
        </w:numPr>
      </w:pPr>
      <w:r>
        <w:rPr>
          <w:b/>
          <w:bCs/>
        </w:rPr>
        <w:t xml:space="preserve">[5.2.2.1]</w:t>
      </w:r>
      <w:r>
        <w:t xml:space="preserve"> </w:t>
      </w:r>
      <w:r>
        <w:t xml:space="preserve">O efeito na margem compara os últimos validados de cada cota com os recusados.</w:t>
      </w:r>
    </w:p>
    <w:p>
      <w:pPr>
        <w:pStyle w:val="Compact"/>
        <w:numPr>
          <w:ilvl w:val="1"/>
          <w:numId w:val="1264"/>
        </w:numPr>
      </w:pPr>
      <w:r>
        <w:rPr>
          <w:b/>
          <w:bCs/>
        </w:rPr>
        <w:t xml:space="preserve">[5.2.2.2]</w:t>
      </w:r>
      <w:r>
        <w:t xml:space="preserve"> </w:t>
      </w:r>
      <w:r>
        <w:t xml:space="preserve">É o efeito de receber agora, que já inclui o financiamento que o recusado obtém depois, sem precisar de instrumento, e vale para a margem da fila, não para a média dos escolhidos.</w:t>
      </w:r>
    </w:p>
    <w:p>
      <w:pPr>
        <w:pStyle w:val="Compact"/>
        <w:numPr>
          <w:ilvl w:val="1"/>
          <w:numId w:val="1265"/>
        </w:numPr>
      </w:pPr>
      <w:r>
        <w:rPr>
          <w:b/>
          <w:bCs/>
        </w:rPr>
        <w:t xml:space="preserve">[5.2.2.3]</w:t>
      </w:r>
      <w:r>
        <w:t xml:space="preserve"> </w:t>
      </w:r>
      <w:r>
        <w:t xml:space="preserve">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w:t>
      </w:r>
    </w:p>
    <w:p>
      <w:pPr>
        <w:pStyle w:val="Compact"/>
        <w:numPr>
          <w:ilvl w:val="2"/>
          <w:numId w:val="1266"/>
        </w:numPr>
      </w:pPr>
      <w:r>
        <w:t xml:space="preserve">checagem de dados: N82 ✔ (</w:t>
      </w:r>
      <w:r>
        <w:rPr>
          <w:rStyle w:val="VerbatimChar"/>
        </w:rPr>
        <w:t xml:space="preserve">analise/tabelas/13_versoes_captados_fila.csv (2024)</w:t>
      </w:r>
      <w:r>
        <w:t xml:space="preserve">); N90 ✔ (</w:t>
      </w:r>
      <w:r>
        <w:rPr>
          <w:rStyle w:val="VerbatimChar"/>
        </w:rPr>
        <w:t xml:space="preserve">analise/tabelas/13_versoes_captados_fila.csv (2024)</w:t>
      </w:r>
      <w:r>
        <w:t xml:space="preserve">)</w:t>
      </w:r>
    </w:p>
    <w:p>
      <w:pPr>
        <w:pStyle w:val="Compact"/>
        <w:numPr>
          <w:ilvl w:val="2"/>
          <w:numId w:val="1266"/>
        </w:numPr>
      </w:pPr>
      <w:r>
        <w:t xml:space="preserve">⚠ números sem checagem automática (conferir na fonte citada): 25</w:t>
      </w:r>
    </w:p>
    <w:p>
      <w:pPr>
        <w:pStyle w:val="Compact"/>
        <w:numPr>
          <w:ilvl w:val="1"/>
          <w:numId w:val="1267"/>
        </w:numPr>
      </w:pPr>
      <w:r>
        <w:rPr>
          <w:b/>
          <w:bCs/>
        </w:rPr>
        <w:t xml:space="preserve">[5.2.2.4]</w:t>
      </w:r>
      <w:r>
        <w:t xml:space="preserve"> </w:t>
      </w:r>
      <w:r>
        <w:t xml:space="preserve">O filtro da CAP compara os expirados com os 86 inabilitados das atas.</w:t>
      </w:r>
    </w:p>
    <w:p>
      <w:pPr>
        <w:pStyle w:val="Compact"/>
        <w:numPr>
          <w:ilvl w:val="2"/>
          <w:numId w:val="1268"/>
        </w:numPr>
      </w:pPr>
      <w:r>
        <w:t xml:space="preserve">⚠ números sem checagem automática (conferir na fonte citada): 86</w:t>
      </w:r>
    </w:p>
    <w:p>
      <w:pPr>
        <w:pStyle w:val="Compact"/>
        <w:numPr>
          <w:ilvl w:val="1"/>
          <w:numId w:val="1269"/>
        </w:numPr>
      </w:pPr>
      <w:r>
        <w:rPr>
          <w:b/>
          <w:bCs/>
        </w:rPr>
        <w:t xml:space="preserve">[5.2.2.5]</w:t>
      </w:r>
      <w:r>
        <w:t xml:space="preserve"> </w:t>
      </w:r>
      <w:r>
        <w:t xml:space="preserve">Do lado da empresa, a fração dos recusados que o mesmo patrocinador pagou fora da LICC mede o quanto o crédito substitui patrocínio próprio, o segundo risco da teoria da mudança.</w:t>
      </w:r>
    </w:p>
    <w:bookmarkEnd w:id="24"/>
    <w:bookmarkStart w:id="25" w:name="desenho-da-amostra-e-fontes-de-dados"/>
    <w:p>
      <w:pPr>
        <w:pStyle w:val="Heading3"/>
      </w:pPr>
      <w:r>
        <w:t xml:space="preserve">5.3 Desenho da amostra e fontes de dados</w:t>
      </w:r>
    </w:p>
    <w:p>
      <w:pPr>
        <w:pStyle w:val="Compact"/>
        <w:numPr>
          <w:ilvl w:val="0"/>
          <w:numId w:val="1270"/>
        </w:numPr>
      </w:pPr>
      <w:r>
        <w:rPr>
          <w:b/>
          <w:bCs/>
        </w:rPr>
        <w:t xml:space="preserve">5.3.1</w:t>
      </w:r>
      <w:r>
        <w:t xml:space="preserve"> </w:t>
      </w:r>
      <w:r>
        <w:t xml:space="preserve">—</w:t>
      </w:r>
      <w:r>
        <w:t xml:space="preserve"> </w:t>
      </w:r>
      <w:r>
        <w:rPr>
          <w:i/>
          <w:iCs/>
        </w:rPr>
        <w:t xml:space="preserve">Passo:</w:t>
      </w:r>
      <w:r>
        <w:t xml:space="preserve"> </w:t>
      </w:r>
      <w:r>
        <w:t xml:space="preserve">(a definir)</w:t>
      </w:r>
    </w:p>
    <w:p>
      <w:pPr>
        <w:pStyle w:val="Compact"/>
        <w:numPr>
          <w:ilvl w:val="1"/>
          <w:numId w:val="1271"/>
        </w:numPr>
      </w:pPr>
      <w:r>
        <w:rPr>
          <w:b/>
          <w:bCs/>
        </w:rPr>
        <w:t xml:space="preserve">[5.3.1.1]</w:t>
      </w:r>
      <w:r>
        <w:t xml:space="preserve"> </w:t>
      </w: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w:t>
      </w:r>
    </w:p>
    <w:p>
      <w:pPr>
        <w:pStyle w:val="Compact"/>
        <w:numPr>
          <w:ilvl w:val="2"/>
          <w:numId w:val="1272"/>
        </w:numPr>
      </w:pPr>
      <w:r>
        <w:t xml:space="preserve">checagem de dados: N80 ✔ (</w:t>
      </w:r>
      <w:r>
        <w:rPr>
          <w:rStyle w:val="VerbatimChar"/>
        </w:rPr>
        <w:t xml:space="preserve">analise/tabelas/12_cap_deliberacoes.csv</w:t>
      </w:r>
      <w:r>
        <w:t xml:space="preserve">); N91 ✔ (</w:t>
      </w:r>
      <w:r>
        <w:rPr>
          <w:rStyle w:val="VerbatimChar"/>
        </w:rPr>
        <w:t xml:space="preserve">analise/tabelas/09_reentrada_resumo.csv</w:t>
      </w:r>
      <w:r>
        <w:t xml:space="preserve">)</w:t>
      </w:r>
    </w:p>
    <w:p>
      <w:pPr>
        <w:pStyle w:val="Compact"/>
        <w:numPr>
          <w:ilvl w:val="1"/>
          <w:numId w:val="1273"/>
        </w:numPr>
      </w:pPr>
      <w:r>
        <w:rPr>
          <w:b/>
          <w:bCs/>
        </w:rPr>
        <w:t xml:space="preserve">[5.3.1.2]</w:t>
      </w:r>
      <w:r>
        <w:t xml:space="preserve"> </w:t>
      </w:r>
      <w:r>
        <w:t xml:space="preserve">O resultado precisa ser medido do mesmo modo em todos eles, e o relatório de execução só existe para quem recebeu.</w:t>
      </w:r>
    </w:p>
    <w:p>
      <w:pPr>
        <w:pStyle w:val="Compact"/>
        <w:numPr>
          <w:ilvl w:val="1"/>
          <w:numId w:val="1274"/>
        </w:numPr>
      </w:pPr>
      <w:r>
        <w:rPr>
          <w:b/>
          <w:bCs/>
        </w:rPr>
        <w:t xml:space="preserve">[5.3.1.3]</w:t>
      </w:r>
      <w:r>
        <w:t xml:space="preserve"> </w:t>
      </w:r>
      <w:r>
        <w:t xml:space="preserve">Por isso</w:t>
      </w:r>
      <w:r>
        <w:t xml:space="preserve"> </w:t>
      </w:r>
      <w:r>
        <w:rPr>
          <w:i/>
          <w:iCs/>
        </w:rPr>
        <w:t xml:space="preserve">Y</w:t>
      </w:r>
      <w:r>
        <w:t xml:space="preserve"> </w:t>
      </w:r>
      <w:r>
        <w:t xml:space="preserve">vem de uma pesquisa de acompanhamento com os proponentes, conferida em registros que independem da LICC.</w:t>
      </w:r>
    </w:p>
    <w:p>
      <w:pPr>
        <w:pStyle w:val="Compact"/>
        <w:numPr>
          <w:ilvl w:val="1"/>
          <w:numId w:val="1275"/>
        </w:numPr>
      </w:pPr>
      <w:r>
        <w:rPr>
          <w:b/>
          <w:bCs/>
        </w:rPr>
        <w:t xml:space="preserve">[5.3.1.4]</w:t>
      </w:r>
      <w:r>
        <w:t xml:space="preserve"> </w:t>
      </w:r>
      <w:r>
        <w:t xml:space="preserve">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Compact"/>
        <w:numPr>
          <w:ilvl w:val="2"/>
          <w:numId w:val="1276"/>
        </w:numPr>
      </w:pPr>
      <w:r>
        <w:t xml:space="preserve">citações: ESPÍRITO SANTO, 2026a; DIO-ES, 2026</w:t>
      </w:r>
    </w:p>
    <w:p>
      <w:pPr>
        <w:pStyle w:val="Compact"/>
        <w:numPr>
          <w:ilvl w:val="2"/>
          <w:numId w:val="1276"/>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7"/>
        </w:numPr>
      </w:pPr>
      <w:r>
        <w:rPr>
          <w:b/>
          <w:bCs/>
        </w:rPr>
        <w:t xml:space="preserve">Colunas:</w:t>
      </w:r>
      <w:r>
        <w:t xml:space="preserve"> </w:t>
      </w:r>
      <w:r>
        <w:t xml:space="preserve">Fonte · Conteúdo · Uso · Acesso</w:t>
      </w:r>
    </w:p>
    <w:p>
      <w:pPr>
        <w:pStyle w:val="Compact"/>
        <w:numPr>
          <w:ilvl w:val="1"/>
          <w:numId w:val="1278"/>
        </w:numPr>
      </w:pPr>
      <w:r>
        <w:rPr>
          <w:b/>
          <w:bCs/>
        </w:rPr>
        <w:t xml:space="preserve">Anexos de habilitados e captados, com as versões antigas</w:t>
      </w:r>
      <w:r>
        <w:t xml:space="preserve"> </w:t>
      </w:r>
      <w:r>
        <w:t xml:space="preserve">— Status, valor e patrocinador; recusados por esgotamento (2023-2024) — Grupos</w:t>
      </w:r>
      <w:r>
        <w:t xml:space="preserve"> </w:t>
      </w:r>
      <m:oMath>
        <m:sSub>
          <m:e>
            <m:r>
              <m:t>θ</m:t>
            </m:r>
          </m:e>
          <m:sub>
            <m:r>
              <m:t>1</m:t>
            </m:r>
          </m:sub>
        </m:sSub>
      </m:oMath>
      <w:r>
        <w:t xml:space="preserve"> </w:t>
      </w:r>
      <w:r>
        <w:t xml:space="preserve">e</w:t>
      </w:r>
      <w:r>
        <w:t xml:space="preserve"> </w:t>
      </w:r>
      <m:oMath>
        <m:sSub>
          <m:e>
            <m:r>
              <m:t>θ</m:t>
            </m:r>
          </m:e>
          <m:sub>
            <m:r>
              <m:t>0</m:t>
            </m:r>
          </m:sub>
        </m:sSub>
      </m:oMath>
      <w:r>
        <w:t xml:space="preserve">; margem — Público</w:t>
      </w:r>
    </w:p>
    <w:p>
      <w:pPr>
        <w:pStyle w:val="Compact"/>
        <w:numPr>
          <w:ilvl w:val="1"/>
          <w:numId w:val="1279"/>
        </w:numPr>
      </w:pPr>
      <w:r>
        <w:rPr>
          <w:b/>
          <w:bCs/>
        </w:rPr>
        <w:t xml:space="preserve">Extratos das atas da CAP</w:t>
      </w:r>
      <w:r>
        <w:t xml:space="preserve"> </w:t>
      </w:r>
      <w:r>
        <w:t xml:space="preserve">— Inabilitados de 2022 a 2026 — Filtro da CAP — Público</w:t>
      </w:r>
    </w:p>
    <w:p>
      <w:pPr>
        <w:pStyle w:val="Compact"/>
        <w:numPr>
          <w:ilvl w:val="1"/>
          <w:numId w:val="1280"/>
        </w:numPr>
      </w:pPr>
      <w:r>
        <w:rPr>
          <w:b/>
          <w:bCs/>
        </w:rPr>
        <w:t xml:space="preserve">Portal da Transparência; avisos do Diário Oficial</w:t>
      </w:r>
      <w:r>
        <w:t xml:space="preserve"> </w:t>
      </w:r>
      <w:r>
        <w:t xml:space="preserve">— Termos com CNPJ de proponente e patrocinador; habilitação e depósitos — Chave de ligação; captação posterior — Público</w:t>
      </w:r>
    </w:p>
    <w:p>
      <w:pPr>
        <w:pStyle w:val="Compact"/>
        <w:numPr>
          <w:ilvl w:val="1"/>
          <w:numId w:val="1281"/>
        </w:numPr>
      </w:pPr>
      <w:r>
        <w:rPr>
          <w:b/>
          <w:bCs/>
        </w:rPr>
        <w:t xml:space="preserve">SEFAZ</w:t>
      </w:r>
      <w:r>
        <w:t xml:space="preserve"> </w:t>
      </w:r>
      <w:r>
        <w:t xml:space="preserve">— Hora de protocolo e de validação, cota e recusados desde 2025 — Teste da fila; grupos de 2025 em diante — Pedido por LAI</w:t>
      </w:r>
    </w:p>
    <w:p>
      <w:pPr>
        <w:pStyle w:val="Compact"/>
        <w:numPr>
          <w:ilvl w:val="1"/>
          <w:numId w:val="1282"/>
        </w:numPr>
      </w:pPr>
      <w:r>
        <w:rPr>
          <w:b/>
          <w:bCs/>
        </w:rPr>
        <w:t xml:space="preserve">Pesquisa de acompanhamento</w:t>
      </w:r>
      <w:r>
        <w:t xml:space="preserve"> </w:t>
      </w:r>
      <w:r>
        <w:t xml:space="preserve">— Realização, data, público e fonte de financiamento de cada projeto; patrocínio fora da LICC —</w:t>
      </w:r>
      <w:r>
        <w:t xml:space="preserve"> </w:t>
      </w:r>
      <w:r>
        <w:rPr>
          <w:i/>
          <w:iCs/>
        </w:rPr>
        <w:t xml:space="preserve">Y</w:t>
      </w:r>
      <w:r>
        <w:t xml:space="preserve"> </w:t>
      </w:r>
      <w:r>
        <w:t xml:space="preserve">em todos os grupos; substituição — Coleta</w:t>
      </w:r>
    </w:p>
    <w:p>
      <w:pPr>
        <w:pStyle w:val="Compact"/>
        <w:numPr>
          <w:ilvl w:val="1"/>
          <w:numId w:val="1283"/>
        </w:numPr>
      </w:pPr>
      <w:r>
        <w:rPr>
          <w:b/>
          <w:bCs/>
        </w:rPr>
        <w:t xml:space="preserve">SALIC; agenda do Mapa Cultural; relatórios de execução</w:t>
      </w:r>
      <w:r>
        <w:t xml:space="preserve"> </w:t>
      </w:r>
      <w:r>
        <w:t xml:space="preserve">— Captação pela Lei Rouanet; eventos datados; realização e público dos financiados — Conferência de</w:t>
      </w:r>
      <w:r>
        <w:t xml:space="preserve"> </w:t>
      </w:r>
      <w:r>
        <w:rPr>
          <w:i/>
          <w:iCs/>
        </w:rPr>
        <w:t xml:space="preserve">Y</w:t>
      </w:r>
      <w:r>
        <w:t xml:space="preserve"> </w:t>
      </w:r>
      <w:r>
        <w:t xml:space="preserve">— Público; LAI</w:t>
      </w:r>
    </w:p>
    <w:p>
      <w:pPr>
        <w:pStyle w:val="Compact"/>
        <w:numPr>
          <w:ilvl w:val="0"/>
          <w:numId w:val="1277"/>
        </w:numPr>
      </w:pPr>
      <w:r>
        <w:rPr>
          <w:b/>
          <w:bCs/>
        </w:rPr>
        <w:t xml:space="preserve">5.3.2</w:t>
      </w:r>
      <w:r>
        <w:t xml:space="preserve"> </w:t>
      </w:r>
      <w:r>
        <w:t xml:space="preserve">(fonte do quadro, tabela ou figura)</w:t>
      </w:r>
    </w:p>
    <w:p>
      <w:pPr>
        <w:pStyle w:val="Compact"/>
        <w:numPr>
          <w:ilvl w:val="1"/>
          <w:numId w:val="1284"/>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5"/>
        </w:numPr>
      </w:pPr>
      <w:r>
        <w:rPr>
          <w:b/>
          <w:bCs/>
        </w:rPr>
        <w:t xml:space="preserve">5.4.1</w:t>
      </w:r>
      <w:r>
        <w:t xml:space="preserve"> </w:t>
      </w:r>
      <w:r>
        <w:t xml:space="preserve">—</w:t>
      </w:r>
      <w:r>
        <w:t xml:space="preserve"> </w:t>
      </w:r>
      <w:r>
        <w:rPr>
          <w:i/>
          <w:iCs/>
        </w:rPr>
        <w:t xml:space="preserve">Passo:</w:t>
      </w:r>
      <w:r>
        <w:t xml:space="preserve"> </w:t>
      </w:r>
      <w:r>
        <w:t xml:space="preserve">(a definir)</w:t>
      </w:r>
    </w:p>
    <w:p>
      <w:pPr>
        <w:pStyle w:val="Compact"/>
        <w:numPr>
          <w:ilvl w:val="1"/>
          <w:numId w:val="1286"/>
        </w:numPr>
      </w:pPr>
      <w:r>
        <w:rPr>
          <w:b/>
          <w:bCs/>
        </w:rPr>
        <w:t xml:space="preserve">[5.4.1.1]</w:t>
      </w:r>
      <w:r>
        <w:t xml:space="preserve"> </w:t>
      </w:r>
      <w:r>
        <w:t xml:space="preserve">Para comparar a proporção de projetos realizados entre dois grupos independentes, o efeito mínimo detectável (EMD), em pontos percentuais, é:</w:t>
      </w:r>
    </w:p>
    <w:p>
      <w:pPr>
        <w:numPr>
          <w:ilvl w:val="0"/>
          <w:numId w:val="1285"/>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5"/>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87"/>
        </w:numPr>
      </w:pPr>
      <w:r>
        <w:rPr>
          <w:b/>
          <w:bCs/>
        </w:rPr>
        <w:t xml:space="preserve">[5.4.2.1]</w:t>
      </w:r>
      <w:r>
        <w:t xml:space="preserve"> </w:t>
      </w:r>
      <w:r>
        <w:t xml:space="preserve">A fórmula segue Djimeu e Houndolo (2016), com α = 5% bicaudal e poder de 80%.</w:t>
      </w:r>
    </w:p>
    <w:p>
      <w:pPr>
        <w:pStyle w:val="Compact"/>
        <w:numPr>
          <w:ilvl w:val="2"/>
          <w:numId w:val="1288"/>
        </w:numPr>
      </w:pPr>
      <w:r>
        <w:t xml:space="preserve">citações: Djimeu e Houndolo (2016)</w:t>
      </w:r>
    </w:p>
    <w:p>
      <w:pPr>
        <w:pStyle w:val="Compact"/>
        <w:numPr>
          <w:ilvl w:val="2"/>
          <w:numId w:val="1288"/>
        </w:numPr>
      </w:pPr>
      <w:r>
        <w:t xml:space="preserve">⚠ números sem checagem automática (conferir na fonte citada): 5%, 80%</w:t>
      </w:r>
    </w:p>
    <w:p>
      <w:pPr>
        <w:pStyle w:val="Compact"/>
        <w:numPr>
          <w:ilvl w:val="1"/>
          <w:numId w:val="1289"/>
        </w:numPr>
      </w:pPr>
      <w:r>
        <w:rPr>
          <w:b/>
          <w:bCs/>
        </w:rPr>
        <w:t xml:space="preserve">[5.4.2.2]</w:t>
      </w:r>
      <w:r>
        <w:t xml:space="preserve"> </w:t>
      </w:r>
      <w:r>
        <w:t xml:space="preserve">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Compact"/>
        <w:numPr>
          <w:ilvl w:val="2"/>
          <w:numId w:val="1290"/>
        </w:numPr>
      </w:pPr>
      <w:r>
        <w:t xml:space="preserve">⚠ números sem checagem automática (conferir na fonte citada): 0,3, 0,7</w:t>
      </w:r>
    </w:p>
    <w:bookmarkEnd w:id="27"/>
    <w:bookmarkStart w:id="28" w:name="X06d19c8e891462e02af4274669f416747c3f0ee"/>
    <w:p>
      <w:pPr>
        <w:pStyle w:val="Heading3"/>
      </w:pPr>
      <w:r>
        <w:t xml:space="preserve">Tabela 2 – Efeito mínimo detectável por contraste (pontos percentuais;</w:t>
      </w:r>
      <w:r>
        <w:t xml:space="preserve"> </w:t>
      </w:r>
      <m:oMath>
        <m:sSub>
          <m:e>
            <m:r>
              <m:t>p</m:t>
            </m:r>
          </m:e>
          <m:sub>
            <m:r>
              <m:t>0</m:t>
            </m:r>
          </m:sub>
        </m:sSub>
      </m:oMath>
      <w:r>
        <w:t xml:space="preserve"> </w:t>
      </w:r>
      <w:r>
        <w:t xml:space="preserve">de 0,3 a 0,7)</w:t>
      </w:r>
    </w:p>
    <w:p>
      <w:pPr>
        <w:pStyle w:val="Compact"/>
        <w:numPr>
          <w:ilvl w:val="0"/>
          <w:numId w:val="1291"/>
        </w:numPr>
      </w:pPr>
      <w:r>
        <w:rPr>
          <w:b/>
          <w:bCs/>
        </w:rPr>
        <w:t xml:space="preserve">Colunas:</w:t>
      </w:r>
      <w:r>
        <w:t xml:space="preserve"> </w:t>
      </w:r>
      <w:r>
        <w:t xml:space="preserve">Contraste · Grupos · Unidades · EMD</w:t>
      </w:r>
    </w:p>
    <w:p>
      <w:pPr>
        <w:pStyle w:val="Compact"/>
        <w:numPr>
          <w:ilvl w:val="1"/>
          <w:numId w:val="1292"/>
        </w:numPr>
      </w:pPr>
      <w:r>
        <w:rPr>
          <w:b/>
          <w:bCs/>
          <w:i/>
          <w:iCs/>
        </w:rPr>
        <w:t xml:space="preserve">V</w:t>
      </w:r>
      <w:r>
        <w:rPr>
          <w:b/>
          <w:bCs/>
        </w:rPr>
        <w:t xml:space="preserve">: recusados × expirados</w:t>
      </w:r>
      <w:r>
        <w:t xml:space="preserve"> </w:t>
      </w:r>
      <w:r>
        <w:t xml:space="preserve">— recusados de 2023-2024; expirados de 2022-2024 — 32 × 95 — 26 a 29</w:t>
      </w:r>
    </w:p>
    <w:p>
      <w:pPr>
        <w:pStyle w:val="Compact"/>
        <w:numPr>
          <w:ilvl w:val="2"/>
          <w:numId w:val="1293"/>
        </w:numPr>
      </w:pPr>
      <w:r>
        <w:t xml:space="preserve">checagem de dados: N92 ✔ (</w:t>
      </w:r>
      <w:r>
        <w:rPr>
          <w:rStyle w:val="VerbatimChar"/>
        </w:rPr>
        <w:t xml:space="preserve">analise/tabelas/23_poder_secao5.csv</w:t>
      </w:r>
      <w:r>
        <w:t xml:space="preserve">)</w:t>
      </w:r>
    </w:p>
    <w:p>
      <w:pPr>
        <w:pStyle w:val="Compact"/>
        <w:numPr>
          <w:ilvl w:val="1"/>
          <w:numId w:val="1294"/>
        </w:numPr>
      </w:pPr>
      <m:oMath>
        <m:sSub>
          <m:e>
            <m:r>
              <m:t>θ</m:t>
            </m:r>
          </m:e>
          <m:sub>
            <m:r>
              <m:t>0</m:t>
            </m:r>
          </m:sub>
        </m:sSub>
      </m:oMath>
      <w:r>
        <w:rPr>
          <w:b/>
          <w:bCs/>
        </w:rPr>
        <w:t xml:space="preserve"> </w:t>
      </w:r>
      <w:r>
        <w:rPr>
          <w:b/>
          <w:bCs/>
        </w:rPr>
        <w:t xml:space="preserve">por faixa de valor</w:t>
      </w:r>
      <w:r>
        <w:t xml:space="preserve"> </w:t>
      </w:r>
      <w:r>
        <w:t xml:space="preserve">— expirados até R$ 400 mil × acima — 58 × 37 — 27 a 29</w:t>
      </w:r>
    </w:p>
    <w:p>
      <w:pPr>
        <w:pStyle w:val="Compact"/>
        <w:numPr>
          <w:ilvl w:val="2"/>
          <w:numId w:val="1295"/>
        </w:numPr>
      </w:pPr>
      <w:r>
        <w:t xml:space="preserve">checagem de dados: N93 ✔ (</w:t>
      </w:r>
      <w:r>
        <w:rPr>
          <w:rStyle w:val="VerbatimChar"/>
        </w:rPr>
        <w:t xml:space="preserve">analise/tabelas/23_poder_secao5.csv</w:t>
      </w:r>
      <w:r>
        <w:t xml:space="preserve">)</w:t>
      </w:r>
    </w:p>
    <w:p>
      <w:pPr>
        <w:pStyle w:val="Compact"/>
        <w:numPr>
          <w:ilvl w:val="1"/>
          <w:numId w:val="1296"/>
        </w:numPr>
      </w:pPr>
      <w:r>
        <w:rPr>
          <w:b/>
          <w:bCs/>
        </w:rPr>
        <w:t xml:space="preserve">Filtro da CAP</w:t>
      </w:r>
      <w:r>
        <w:t xml:space="preserve"> </w:t>
      </w:r>
      <w:r>
        <w:t xml:space="preserve">— expirados × inabilitados — 95 × 86 — 19 a 21</w:t>
      </w:r>
    </w:p>
    <w:p>
      <w:pPr>
        <w:pStyle w:val="Compact"/>
        <w:numPr>
          <w:ilvl w:val="2"/>
          <w:numId w:val="1297"/>
        </w:numPr>
      </w:pPr>
      <w:r>
        <w:t xml:space="preserve">checagem de dados: N94 ✔ (</w:t>
      </w:r>
      <w:r>
        <w:rPr>
          <w:rStyle w:val="VerbatimChar"/>
        </w:rPr>
        <w:t xml:space="preserve">analise/tabelas/23_poder_secao5.csv</w:t>
      </w:r>
      <w:r>
        <w:t xml:space="preserve">)</w:t>
      </w:r>
    </w:p>
    <w:p>
      <w:pPr>
        <w:pStyle w:val="Compact"/>
        <w:numPr>
          <w:ilvl w:val="1"/>
          <w:numId w:val="1298"/>
        </w:numPr>
      </w:pPr>
      <w:r>
        <w:rPr>
          <w:b/>
          <w:bCs/>
        </w:rPr>
        <w:t xml:space="preserve">EMPT na margem</w:t>
      </w:r>
      <w:r>
        <w:t xml:space="preserve"> </w:t>
      </w:r>
      <w:r>
        <w:t xml:space="preserve">— últimos validados × recusados — 32 × 32 — 32 a 35</w:t>
      </w:r>
    </w:p>
    <w:p>
      <w:pPr>
        <w:pStyle w:val="Compact"/>
        <w:numPr>
          <w:ilvl w:val="2"/>
          <w:numId w:val="1299"/>
        </w:numPr>
      </w:pPr>
      <w:r>
        <w:t xml:space="preserve">checagem de dados: N95 ✔ (</w:t>
      </w:r>
      <w:r>
        <w:rPr>
          <w:rStyle w:val="VerbatimChar"/>
        </w:rPr>
        <w:t xml:space="preserve">analise/tabelas/23_poder_secao5.csv</w:t>
      </w:r>
      <w:r>
        <w:t xml:space="preserve">)</w:t>
      </w:r>
    </w:p>
    <w:p>
      <w:pPr>
        <w:pStyle w:val="Compact"/>
        <w:numPr>
          <w:ilvl w:val="1"/>
          <w:numId w:val="1300"/>
        </w:numPr>
      </w:pPr>
      <w:r>
        <w:rPr>
          <w:b/>
          <w:bCs/>
        </w:rPr>
        <w:t xml:space="preserve">Ampliação do teto em 2024</w:t>
      </w:r>
      <w:r>
        <w:t xml:space="preserve"> </w:t>
      </w:r>
      <w:r>
        <w:t xml:space="preserve">— recusas convertidas × mantidas — 27 × 20 — 38 a 41</w:t>
      </w:r>
    </w:p>
    <w:p>
      <w:pPr>
        <w:pStyle w:val="Compact"/>
        <w:numPr>
          <w:ilvl w:val="2"/>
          <w:numId w:val="1301"/>
        </w:numPr>
      </w:pPr>
      <w:r>
        <w:t xml:space="preserve">checagem de dados: N96 ✔ (</w:t>
      </w:r>
      <w:r>
        <w:rPr>
          <w:rStyle w:val="VerbatimChar"/>
        </w:rPr>
        <w:t xml:space="preserve">analise/tabelas/23_poder_secao5.csv</w:t>
      </w:r>
      <w:r>
        <w:t xml:space="preserve">)</w:t>
      </w:r>
    </w:p>
    <w:p>
      <w:pPr>
        <w:pStyle w:val="Compact"/>
        <w:numPr>
          <w:ilvl w:val="1"/>
          <w:numId w:val="1302"/>
        </w:numPr>
      </w:pPr>
      <w:r>
        <w:rPr>
          <w:b/>
          <w:bCs/>
          <w:i/>
          <w:iCs/>
        </w:rPr>
        <w:t xml:space="preserve">V</w:t>
      </w:r>
      <w:r>
        <w:rPr>
          <w:b/>
          <w:bCs/>
        </w:rPr>
        <w:t xml:space="preserve">, com mais quatro ciclos</w:t>
      </w:r>
      <w:r>
        <w:t xml:space="preserve"> </w:t>
      </w:r>
      <w:r>
        <w:t xml:space="preserve">— recusados × expirados acumulados — 96 × 222 — 16 a 17</w:t>
      </w:r>
    </w:p>
    <w:p>
      <w:pPr>
        <w:pStyle w:val="Compact"/>
        <w:numPr>
          <w:ilvl w:val="2"/>
          <w:numId w:val="1303"/>
        </w:numPr>
      </w:pPr>
      <w:r>
        <w:t xml:space="preserve">checagem de dados: N97 ✔ (</w:t>
      </w:r>
      <w:r>
        <w:rPr>
          <w:rStyle w:val="VerbatimChar"/>
        </w:rPr>
        <w:t xml:space="preserve">analise/tabelas/23_poder_secao5.csv</w:t>
      </w:r>
      <w:r>
        <w:t xml:space="preserve">)</w:t>
      </w:r>
    </w:p>
    <w:p>
      <w:pPr>
        <w:pStyle w:val="Compact"/>
        <w:numPr>
          <w:ilvl w:val="0"/>
          <w:numId w:val="1291"/>
        </w:numPr>
      </w:pPr>
      <w:r>
        <w:rPr>
          <w:b/>
          <w:bCs/>
        </w:rPr>
        <w:t xml:space="preserve">5.4.3</w:t>
      </w:r>
      <w:r>
        <w:t xml:space="preserve"> </w:t>
      </w:r>
      <w:r>
        <w:t xml:space="preserve">(fonte do quadro, tabela ou figura)</w:t>
      </w:r>
    </w:p>
    <w:p>
      <w:pPr>
        <w:pStyle w:val="Compact"/>
        <w:numPr>
          <w:ilvl w:val="1"/>
          <w:numId w:val="1304"/>
        </w:numPr>
      </w:pPr>
      <w:r>
        <w:rPr>
          <w:b/>
          <w:bCs/>
        </w:rPr>
        <w:t xml:space="preserve">[5.4.3.1]</w:t>
      </w:r>
      <w:r>
        <w:t xml:space="preserve"> </w:t>
      </w:r>
      <w:r>
        <w:t xml:space="preserve">Fonte: elaboração própria;</w:t>
      </w:r>
      <w:r>
        <w:t xml:space="preserve"> </w:t>
      </w:r>
      <w:r>
        <w:rPr>
          <w:rStyle w:val="VerbatimChar"/>
        </w:rPr>
        <w:t xml:space="preserve">analise/tabelas/23_poder_secao5.csv</w:t>
      </w:r>
      <w:r>
        <w:t xml:space="preserve">.</w:t>
      </w:r>
    </w:p>
    <w:p>
      <w:pPr>
        <w:pStyle w:val="Compact"/>
        <w:numPr>
          <w:ilvl w:val="0"/>
          <w:numId w:val="1291"/>
        </w:numPr>
      </w:pPr>
      <w:r>
        <w:rPr>
          <w:b/>
          <w:bCs/>
        </w:rPr>
        <w:t xml:space="preserve">5.4.4</w:t>
      </w:r>
      <w:r>
        <w:t xml:space="preserve"> </w:t>
      </w:r>
      <w:r>
        <w:t xml:space="preserve">—</w:t>
      </w:r>
      <w:r>
        <w:t xml:space="preserve"> </w:t>
      </w:r>
      <w:r>
        <w:rPr>
          <w:i/>
          <w:iCs/>
        </w:rPr>
        <w:t xml:space="preserve">Passo:</w:t>
      </w:r>
      <w:r>
        <w:t xml:space="preserve"> </w:t>
      </w:r>
      <w:r>
        <w:t xml:space="preserve">(a definir)</w:t>
      </w:r>
    </w:p>
    <w:p>
      <w:pPr>
        <w:pStyle w:val="Compact"/>
        <w:numPr>
          <w:ilvl w:val="1"/>
          <w:numId w:val="1305"/>
        </w:numPr>
      </w:pPr>
      <w:r>
        <w:rPr>
          <w:b/>
          <w:bCs/>
        </w:rPr>
        <w:t xml:space="preserve">[5.4.4.1]</w:t>
      </w:r>
      <w:r>
        <w:t xml:space="preserve"> </w:t>
      </w:r>
      <w:r>
        <w:t xml:space="preserve">Com os dados de hoje, o contraste principal só detecta diferenças de 26 a 29 pontos: basta para rejeitar a ausência de seleção se ela for forte, como sugere a queda da captação dos pedidos pequenos, mas não para medir seu tamanho.</w:t>
      </w:r>
    </w:p>
    <w:p>
      <w:pPr>
        <w:pStyle w:val="Compact"/>
        <w:numPr>
          <w:ilvl w:val="2"/>
          <w:numId w:val="1306"/>
        </w:numPr>
      </w:pPr>
      <w:r>
        <w:t xml:space="preserve">checagem de dados: N98 ✔ (</w:t>
      </w:r>
      <w:r>
        <w:rPr>
          <w:rStyle w:val="VerbatimChar"/>
        </w:rPr>
        <w:t xml:space="preserve">analise/tabelas/23_poder_secao5.csv</w:t>
      </w:r>
      <w:r>
        <w:t xml:space="preserve">)</w:t>
      </w:r>
    </w:p>
    <w:p>
      <w:pPr>
        <w:pStyle w:val="Compact"/>
        <w:numPr>
          <w:ilvl w:val="1"/>
          <w:numId w:val="1307"/>
        </w:numPr>
      </w:pPr>
      <w:r>
        <w:rPr>
          <w:b/>
          <w:bCs/>
        </w:rPr>
        <w:t xml:space="preserve">[5.4.4.2]</w:t>
      </w:r>
      <w:r>
        <w:t xml:space="preserve"> </w:t>
      </w:r>
      <w:r>
        <w:t xml:space="preserve">Com mais quatro ciclos no ritmo de 2022-2024, o EMD cai para 16 a 17 pontos.</w:t>
      </w:r>
    </w:p>
    <w:p>
      <w:pPr>
        <w:pStyle w:val="Compact"/>
        <w:numPr>
          <w:ilvl w:val="2"/>
          <w:numId w:val="1308"/>
        </w:numPr>
      </w:pPr>
      <w:r>
        <w:t xml:space="preserve">checagem de dados: N99 ✔ (</w:t>
      </w:r>
      <w:r>
        <w:rPr>
          <w:rStyle w:val="VerbatimChar"/>
        </w:rPr>
        <w:t xml:space="preserve">analise/tabelas/23_poder_secao5.csv</w:t>
      </w:r>
      <w:r>
        <w:t xml:space="preserve">)</w:t>
      </w:r>
    </w:p>
    <w:p>
      <w:pPr>
        <w:pStyle w:val="Compact"/>
        <w:numPr>
          <w:ilvl w:val="1"/>
          <w:numId w:val="1309"/>
        </w:numPr>
      </w:pPr>
      <w:r>
        <w:rPr>
          <w:b/>
          <w:bCs/>
        </w:rPr>
        <w:t xml:space="preserve">[5.4.4.3]</w:t>
      </w:r>
      <w:r>
        <w:t xml:space="preserve"> </w:t>
      </w:r>
      <w:r>
        <w:t xml:space="preserve">Comparar recusados pequenos e grandes continua exploratório: com mais quatro ciclos, detecta só 28 a 30 pontos.</w:t>
      </w:r>
    </w:p>
    <w:p>
      <w:pPr>
        <w:pStyle w:val="Compact"/>
        <w:numPr>
          <w:ilvl w:val="2"/>
          <w:numId w:val="1310"/>
        </w:numPr>
      </w:pPr>
      <w:r>
        <w:t xml:space="preserve">checagem de dados: N100 ✔ (</w:t>
      </w:r>
      <w:r>
        <w:rPr>
          <w:rStyle w:val="VerbatimChar"/>
        </w:rPr>
        <w:t xml:space="preserve">analise/tabelas/23_poder_secao5.csv</w:t>
      </w:r>
      <w:r>
        <w:t xml:space="preserve">)</w:t>
      </w:r>
    </w:p>
    <w:p>
      <w:pPr>
        <w:pStyle w:val="Compact"/>
        <w:numPr>
          <w:ilvl w:val="1"/>
          <w:numId w:val="1311"/>
        </w:numPr>
      </w:pPr>
      <w:r>
        <w:rPr>
          <w:b/>
          <w:bCs/>
        </w:rPr>
        <w:t xml:space="preserve">[5.4.4.4]</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w:t>
      </w:r>
    </w:p>
    <w:p>
      <w:pPr>
        <w:pStyle w:val="Compact"/>
        <w:numPr>
          <w:ilvl w:val="2"/>
          <w:numId w:val="1312"/>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13"/>
        </w:numPr>
      </w:pPr>
      <w:r>
        <w:rPr>
          <w:b/>
          <w:bCs/>
        </w:rPr>
        <w:t xml:space="preserve">5.5.1</w:t>
      </w:r>
      <w:r>
        <w:t xml:space="preserve"> </w:t>
      </w:r>
      <w:r>
        <w:t xml:space="preserve">—</w:t>
      </w:r>
      <w:r>
        <w:t xml:space="preserve"> </w:t>
      </w:r>
      <w:r>
        <w:rPr>
          <w:i/>
          <w:iCs/>
        </w:rPr>
        <w:t xml:space="preserve">Passo:</w:t>
      </w:r>
      <w:r>
        <w:t xml:space="preserve"> </w:t>
      </w:r>
      <w:r>
        <w:t xml:space="preserve">(a definir)</w:t>
      </w:r>
    </w:p>
    <w:p>
      <w:pPr>
        <w:pStyle w:val="Compact"/>
        <w:numPr>
          <w:ilvl w:val="1"/>
          <w:numId w:val="1314"/>
        </w:numPr>
      </w:pPr>
      <w:r>
        <w:rPr>
          <w:b/>
          <w:bCs/>
        </w:rPr>
        <w:t xml:space="preserve">[5.5.1.1]</w:t>
      </w:r>
      <w:r>
        <w:t xml:space="preserve"> </w:t>
      </w: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p>
    <w:p>
      <w:pPr>
        <w:pStyle w:val="Compact"/>
        <w:numPr>
          <w:ilvl w:val="1"/>
          <w:numId w:val="1315"/>
        </w:numPr>
      </w:pPr>
      <w:r>
        <w:rPr>
          <w:b/>
          <w:bCs/>
        </w:rPr>
        <w:t xml:space="preserve">[5.5.1.2]</w:t>
      </w:r>
      <w:r>
        <w:t xml:space="preserve"> </w:t>
      </w:r>
      <w:r>
        <w:rPr>
          <w:i/>
          <w:iCs/>
        </w:rPr>
        <w:t xml:space="preserve">V</w:t>
      </w:r>
      <w:r>
        <w:t xml:space="preserve"> </w:t>
      </w:r>
      <w:r>
        <w:t xml:space="preserve">e o efeito na margem valem para os escolhidos na margem da fila, e não para todos.</w:t>
      </w:r>
    </w:p>
    <w:p>
      <w:pPr>
        <w:pStyle w:val="Compact"/>
        <w:numPr>
          <w:ilvl w:val="1"/>
          <w:numId w:val="1316"/>
        </w:numPr>
      </w:pPr>
      <w:r>
        <w:rPr>
          <w:b/>
          <w:bCs/>
        </w:rPr>
        <w:t xml:space="preserve">[5.5.1.3]</w:t>
      </w:r>
      <w:r>
        <w:t xml:space="preserve"> </w:t>
      </w:r>
      <w:r>
        <w:t xml:space="preserve">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w:t>
      </w:r>
    </w:p>
    <w:p>
      <w:pPr>
        <w:pStyle w:val="Compact"/>
        <w:numPr>
          <w:ilvl w:val="1"/>
          <w:numId w:val="1317"/>
        </w:numPr>
      </w:pPr>
      <w:r>
        <w:rPr>
          <w:b/>
          <w:bCs/>
        </w:rPr>
        <w:t xml:space="preserve">[5.5.1.4]</w:t>
      </w:r>
      <w:r>
        <w:t xml:space="preserve"> </w:t>
      </w:r>
      <w:r>
        <w:t xml:space="preserve">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w:t>
      </w:r>
    </w:p>
    <w:p>
      <w:pPr>
        <w:pStyle w:val="Compact"/>
        <w:numPr>
          <w:ilvl w:val="2"/>
          <w:numId w:val="1318"/>
        </w:numPr>
      </w:pPr>
      <w:r>
        <w:t xml:space="preserve">checagem de dados: N27 ✔ (</w:t>
      </w:r>
      <w:r>
        <w:rPr>
          <w:rStyle w:val="VerbatimChar"/>
        </w:rPr>
        <w:t xml:space="preserve">analise/tabelas/07_funil_por_ciclo.csv</w:t>
      </w:r>
      <w:r>
        <w:t xml:space="preserve">)</w:t>
      </w:r>
    </w:p>
    <w:p>
      <w:pPr>
        <w:pStyle w:val="Compact"/>
        <w:numPr>
          <w:ilvl w:val="1"/>
          <w:numId w:val="1319"/>
        </w:numPr>
      </w:pPr>
      <w:r>
        <w:rPr>
          <w:b/>
          <w:bCs/>
        </w:rPr>
        <w:t xml:space="preserve">[5.5.1.5]</w:t>
      </w:r>
      <w:r>
        <w:t xml:space="preserve"> </w:t>
      </w:r>
      <w:r>
        <w:t xml:space="preserve">No plano ético, a avaliação não nega nem adia acesso a ninguém, porque só acompanha grupos que a regra já produz.</w:t>
      </w:r>
    </w:p>
    <w:p>
      <w:pPr>
        <w:pStyle w:val="Compact"/>
        <w:numPr>
          <w:ilvl w:val="1"/>
          <w:numId w:val="1320"/>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1"/>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22"/>
        </w:numPr>
      </w:pPr>
      <w:r>
        <w:rPr>
          <w:b/>
          <w:bCs/>
        </w:rPr>
        <w:t xml:space="preserve">[6.1.1]</w:t>
      </w:r>
      <w:r>
        <w:t xml:space="preserve"> </w:t>
      </w: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w:t>
      </w:r>
    </w:p>
    <w:p>
      <w:pPr>
        <w:pStyle w:val="Compact"/>
        <w:numPr>
          <w:ilvl w:val="1"/>
          <w:numId w:val="1323"/>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24"/>
        </w:numPr>
      </w:pPr>
      <w:r>
        <w:rPr>
          <w:b/>
          <w:bCs/>
        </w:rPr>
        <w:t xml:space="preserve">[6.1.3]</w:t>
      </w:r>
      <w:r>
        <w:t xml:space="preserve"> </w:t>
      </w:r>
      <w:r>
        <w:t xml:space="preserve">A entrega, extremo da cadeia, é indeterminada, porque a SECULT não publica o público alcançado.</w:t>
      </w:r>
    </w:p>
    <w:p>
      <w:pPr>
        <w:pStyle w:val="Compact"/>
        <w:numPr>
          <w:ilvl w:val="0"/>
          <w:numId w:val="1321"/>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25"/>
        </w:numPr>
      </w:pPr>
      <w:r>
        <w:rPr>
          <w:b/>
          <w:bCs/>
        </w:rPr>
        <w:t xml:space="preserve">[6.2.1]</w:t>
      </w:r>
      <w:r>
        <w:t xml:space="preserve"> </w:t>
      </w:r>
      <w:r>
        <w:t xml:space="preserve">Sem alterar o mecanismo, a gestão pode declarar objetivos, metas e indicadores e publicar, em formato aberto, os inscritos, entrega dos projetos, sede e motivo de inabilitação; a captação por cota; a fila de termos, com datas de protocolo e validação, também dos recusados; e custos, contrapartidas e público alcançado.</w:t>
      </w:r>
    </w:p>
    <w:p>
      <w:pPr>
        <w:pStyle w:val="Compact"/>
        <w:numPr>
          <w:ilvl w:val="0"/>
          <w:numId w:val="1321"/>
        </w:numPr>
      </w:pPr>
      <w:r>
        <w:rPr>
          <w:b/>
          <w:bCs/>
        </w:rPr>
        <w:t xml:space="preserve">6.3</w:t>
      </w:r>
      <w:r>
        <w:t xml:space="preserve"> </w:t>
      </w:r>
      <w:r>
        <w:t xml:space="preserve">—</w:t>
      </w:r>
      <w:r>
        <w:t xml:space="preserve"> </w:t>
      </w:r>
      <w:r>
        <w:rPr>
          <w:i/>
          <w:iCs/>
        </w:rPr>
        <w:t xml:space="preserve">Passo:</w:t>
      </w:r>
      <w:r>
        <w:t xml:space="preserve"> </w:t>
      </w:r>
      <w:r>
        <w:t xml:space="preserve">(a definir)</w:t>
      </w:r>
    </w:p>
    <w:p>
      <w:pPr>
        <w:pStyle w:val="Compact"/>
        <w:numPr>
          <w:ilvl w:val="1"/>
          <w:numId w:val="1326"/>
        </w:numPr>
      </w:pPr>
      <w:r>
        <w:rPr>
          <w:b/>
          <w:bCs/>
        </w:rPr>
        <w:t xml:space="preserve">[6.3.1]</w:t>
      </w:r>
      <w:r>
        <w:t xml:space="preserve"> </w:t>
      </w:r>
      <w:r>
        <w:t xml:space="preserve">A pergunta de impacto é se a renúncia vai para os projetos que dependem dela.</w:t>
      </w:r>
    </w:p>
    <w:p>
      <w:pPr>
        <w:pStyle w:val="Compact"/>
        <w:numPr>
          <w:ilvl w:val="1"/>
          <w:numId w:val="1327"/>
        </w:numPr>
      </w:pPr>
      <w:r>
        <w:rPr>
          <w:b/>
          <w:bCs/>
        </w:rPr>
        <w:t xml:space="preserve">[6.3.2]</w:t>
      </w:r>
      <w:r>
        <w:t xml:space="preserve"> </w:t>
      </w:r>
      <w:r>
        <w:t xml:space="preserve">Os grupos para respondê-la já existem pela regra atual, recusados por esgotamento da cota, habilitados sem patrocinador e inabilitados, e falta medir do mesmo modo, em todos, se os projetos se realizaram.</w:t>
      </w:r>
    </w:p>
    <w:p>
      <w:pPr>
        <w:pStyle w:val="Compact"/>
        <w:numPr>
          <w:ilvl w:val="1"/>
          <w:numId w:val="1328"/>
        </w:numPr>
      </w:pPr>
      <w:r>
        <w:rPr>
          <w:b/>
          <w:bCs/>
        </w:rPr>
        <w:t xml:space="preserve">[6.3.3]</w:t>
      </w:r>
      <w:r>
        <w:t xml:space="preserve"> </w:t>
      </w:r>
      <w:r>
        <w:t xml:space="preserve">Mais da metade dos recusados por falta de teto captou no ano seguinte, e a captação dos pedidos pequenos caiu a cada ciclo: se a seleção do mecanismo for positiva e maior nos pedidos grandes, a renúncia vai a quem menos depende dela; se, além disso, o efeito na margem da fila for próximo de zero, ampliar o teto financia o que ocorreria de todo modo, e o valor público da LICC passa a depender menos do tamanho do teto que da regra que define quais projetos recebem a renúncia e do que se exige e se verifica na entrega.</w:t>
      </w:r>
    </w:p>
    <w:p>
      <w:pPr>
        <w:pStyle w:val="Compact"/>
        <w:numPr>
          <w:ilvl w:val="2"/>
          <w:numId w:val="1329"/>
        </w:numPr>
      </w:pPr>
      <w:r>
        <w:t xml:space="preserve">checagem de dados: N101 ✔ (</w:t>
      </w:r>
      <w:r>
        <w:rPr>
          <w:rStyle w:val="VerbatimChar"/>
        </w:rPr>
        <w:t xml:space="preserve">analise/tabelas/09_reentrada_resumo.csv</w:t>
      </w:r>
      <w:r>
        <w:t xml:space="preserve">); N103 ✔ (</w:t>
      </w:r>
      <w:r>
        <w:rPr>
          <w:rStyle w:val="VerbatimChar"/>
        </w:rPr>
        <w:t xml:space="preserve">analise/tabelas/23_captacao_por_faixa.csv (até R$ 400 mil: 2022 &gt; 2023 &gt; 2024)</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0"/>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31"/>
        </w:numPr>
      </w:pPr>
      <w:r>
        <w:t xml:space="preserve">conferência: sem_doi</w:t>
      </w:r>
    </w:p>
    <w:p>
      <w:pPr>
        <w:pStyle w:val="Compact"/>
        <w:numPr>
          <w:ilvl w:val="0"/>
          <w:numId w:val="1332"/>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33"/>
        </w:numPr>
      </w:pPr>
      <w:r>
        <w:t xml:space="preserve">conferência: sem_doi</w:t>
      </w:r>
    </w:p>
    <w:p>
      <w:pPr>
        <w:pStyle w:val="Compact"/>
        <w:numPr>
          <w:ilvl w:val="0"/>
          <w:numId w:val="1334"/>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35"/>
        </w:numPr>
      </w:pPr>
      <w:r>
        <w:t xml:space="preserve">conferência: VERIFIED</w:t>
      </w:r>
    </w:p>
    <w:p>
      <w:pPr>
        <w:pStyle w:val="Compact"/>
        <w:numPr>
          <w:ilvl w:val="0"/>
          <w:numId w:val="1336"/>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37"/>
        </w:numPr>
      </w:pPr>
      <w:r>
        <w:t xml:space="preserve">conferência: sem_doi</w:t>
      </w:r>
    </w:p>
    <w:p>
      <w:pPr>
        <w:pStyle w:val="Compact"/>
        <w:numPr>
          <w:ilvl w:val="0"/>
          <w:numId w:val="1338"/>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39"/>
        </w:numPr>
      </w:pPr>
      <w:r>
        <w:t xml:space="preserve">conferência: sem_doi</w:t>
      </w:r>
    </w:p>
    <w:p>
      <w:pPr>
        <w:pStyle w:val="Compact"/>
        <w:numPr>
          <w:ilvl w:val="0"/>
          <w:numId w:val="1340"/>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41"/>
        </w:numPr>
      </w:pPr>
      <w:r>
        <w:t xml:space="preserve">conferência: sem_doi</w:t>
      </w:r>
    </w:p>
    <w:p>
      <w:pPr>
        <w:pStyle w:val="Compact"/>
        <w:numPr>
          <w:ilvl w:val="0"/>
          <w:numId w:val="1342"/>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43"/>
        </w:numPr>
      </w:pPr>
      <w:r>
        <w:t xml:space="preserve">conferência: VERIFIED</w:t>
      </w:r>
    </w:p>
    <w:p>
      <w:pPr>
        <w:pStyle w:val="Compact"/>
        <w:numPr>
          <w:ilvl w:val="0"/>
          <w:numId w:val="1344"/>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45"/>
        </w:numPr>
      </w:pPr>
      <w:r>
        <w:t xml:space="preserve">conferência: VERIFIED</w:t>
      </w:r>
    </w:p>
    <w:p>
      <w:pPr>
        <w:pStyle w:val="Compact"/>
        <w:numPr>
          <w:ilvl w:val="0"/>
          <w:numId w:val="1346"/>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47"/>
        </w:numPr>
      </w:pPr>
      <w:r>
        <w:t xml:space="preserve">conferência: VERIFIED</w:t>
      </w:r>
    </w:p>
    <w:p>
      <w:pPr>
        <w:pStyle w:val="Compact"/>
        <w:numPr>
          <w:ilvl w:val="0"/>
          <w:numId w:val="1348"/>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49"/>
        </w:numPr>
      </w:pPr>
      <w:r>
        <w:t xml:space="preserve">conferência: sem_doi</w:t>
      </w:r>
    </w:p>
    <w:p>
      <w:pPr>
        <w:pStyle w:val="Compact"/>
        <w:numPr>
          <w:ilvl w:val="0"/>
          <w:numId w:val="1350"/>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51"/>
        </w:numPr>
      </w:pPr>
      <w:r>
        <w:t xml:space="preserve">conferência: VERIFIED</w:t>
      </w:r>
    </w:p>
    <w:p>
      <w:pPr>
        <w:pStyle w:val="Compact"/>
        <w:numPr>
          <w:ilvl w:val="0"/>
          <w:numId w:val="1352"/>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53"/>
        </w:numPr>
      </w:pPr>
      <w:r>
        <w:t xml:space="preserve">conferência: sem_doi</w:t>
      </w:r>
    </w:p>
    <w:p>
      <w:pPr>
        <w:pStyle w:val="Compact"/>
        <w:numPr>
          <w:ilvl w:val="0"/>
          <w:numId w:val="1354"/>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55"/>
        </w:numPr>
      </w:pPr>
      <w:r>
        <w:t xml:space="preserve">conferência: sem_doi</w:t>
      </w:r>
    </w:p>
    <w:p>
      <w:pPr>
        <w:pStyle w:val="Compact"/>
        <w:numPr>
          <w:ilvl w:val="0"/>
          <w:numId w:val="1356"/>
        </w:numPr>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Compact"/>
        <w:numPr>
          <w:ilvl w:val="1"/>
          <w:numId w:val="1357"/>
        </w:numPr>
      </w:pPr>
      <w:r>
        <w:t xml:space="preserve">conferência: sem_doi</w:t>
      </w:r>
    </w:p>
    <w:p>
      <w:pPr>
        <w:pStyle w:val="Compact"/>
        <w:numPr>
          <w:ilvl w:val="0"/>
          <w:numId w:val="1358"/>
        </w:numPr>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Compact"/>
        <w:numPr>
          <w:ilvl w:val="1"/>
          <w:numId w:val="1359"/>
        </w:numPr>
      </w:pPr>
      <w:r>
        <w:t xml:space="preserve">conferência: sem_doi</w:t>
      </w:r>
    </w:p>
    <w:p>
      <w:pPr>
        <w:pStyle w:val="Compact"/>
        <w:numPr>
          <w:ilvl w:val="0"/>
          <w:numId w:val="1360"/>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61"/>
        </w:numPr>
      </w:pPr>
      <w:r>
        <w:t xml:space="preserve">conferência: sem_doi</w:t>
      </w:r>
    </w:p>
    <w:p>
      <w:pPr>
        <w:pStyle w:val="Compact"/>
        <w:numPr>
          <w:ilvl w:val="0"/>
          <w:numId w:val="1362"/>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63"/>
        </w:numPr>
      </w:pPr>
      <w:r>
        <w:t xml:space="preserve">conferência: VERIFIED</w:t>
      </w:r>
    </w:p>
    <w:p>
      <w:pPr>
        <w:pStyle w:val="Compact"/>
        <w:numPr>
          <w:ilvl w:val="0"/>
          <w:numId w:val="1364"/>
        </w:numPr>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Compact"/>
        <w:numPr>
          <w:ilvl w:val="1"/>
          <w:numId w:val="1365"/>
        </w:numPr>
      </w:pPr>
      <w:r>
        <w:t xml:space="preserve">conferência: sem_doi</w:t>
      </w:r>
    </w:p>
    <w:p>
      <w:pPr>
        <w:pStyle w:val="Compact"/>
        <w:numPr>
          <w:ilvl w:val="0"/>
          <w:numId w:val="1366"/>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67"/>
        </w:numPr>
      </w:pPr>
      <w:r>
        <w:t xml:space="preserve">conferência: VERIFIED</w:t>
      </w:r>
    </w:p>
    <w:p>
      <w:pPr>
        <w:pStyle w:val="Compact"/>
        <w:numPr>
          <w:ilvl w:val="0"/>
          <w:numId w:val="1368"/>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69"/>
        </w:numPr>
      </w:pPr>
      <w:r>
        <w:t xml:space="preserve">conferência: sem_doi</w:t>
      </w:r>
    </w:p>
    <w:p>
      <w:pPr>
        <w:pStyle w:val="Compact"/>
        <w:numPr>
          <w:ilvl w:val="0"/>
          <w:numId w:val="1370"/>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71"/>
        </w:numPr>
      </w:pPr>
      <w:r>
        <w:t xml:space="preserve">conferência: sem_doi</w:t>
      </w:r>
    </w:p>
    <w:p>
      <w:pPr>
        <w:pStyle w:val="Compact"/>
        <w:numPr>
          <w:ilvl w:val="0"/>
          <w:numId w:val="1372"/>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73"/>
        </w:numPr>
      </w:pPr>
      <w:r>
        <w:t xml:space="preserve">conferência: sem_doi</w:t>
      </w:r>
    </w:p>
    <w:p>
      <w:pPr>
        <w:pStyle w:val="Compact"/>
        <w:numPr>
          <w:ilvl w:val="0"/>
          <w:numId w:val="1374"/>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75"/>
        </w:numPr>
      </w:pPr>
      <w:r>
        <w:t xml:space="preserve">conferência: sem_doi</w:t>
      </w:r>
    </w:p>
    <w:p>
      <w:pPr>
        <w:pStyle w:val="Compact"/>
        <w:numPr>
          <w:ilvl w:val="0"/>
          <w:numId w:val="1376"/>
        </w:numPr>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Compact"/>
        <w:numPr>
          <w:ilvl w:val="1"/>
          <w:numId w:val="1377"/>
        </w:numPr>
      </w:pPr>
      <w:r>
        <w:t xml:space="preserve">conferência: sem_doi</w:t>
      </w:r>
    </w:p>
    <w:p>
      <w:pPr>
        <w:pStyle w:val="Compact"/>
        <w:numPr>
          <w:ilvl w:val="0"/>
          <w:numId w:val="1378"/>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79"/>
        </w:numPr>
      </w:pPr>
      <w:r>
        <w:t xml:space="preserve">conferência: VERIFIED</w:t>
      </w:r>
    </w:p>
    <w:p>
      <w:pPr>
        <w:pStyle w:val="Compact"/>
        <w:numPr>
          <w:ilvl w:val="0"/>
          <w:numId w:val="1380"/>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81"/>
        </w:numPr>
      </w:pPr>
      <w:r>
        <w:t xml:space="preserve">conferência: VERIFIED</w:t>
      </w:r>
    </w:p>
    <w:p>
      <w:pPr>
        <w:pStyle w:val="Compact"/>
        <w:numPr>
          <w:ilvl w:val="0"/>
          <w:numId w:val="1382"/>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83"/>
        </w:numPr>
      </w:pPr>
      <w:r>
        <w:t xml:space="preserve">conferência: sem_doi</w:t>
      </w:r>
    </w:p>
    <w:p>
      <w:pPr>
        <w:pStyle w:val="Compact"/>
        <w:numPr>
          <w:ilvl w:val="0"/>
          <w:numId w:val="1384"/>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385"/>
        </w:numPr>
      </w:pPr>
      <w:r>
        <w:t xml:space="preserve">conferência: VERIFIED</w:t>
      </w:r>
    </w:p>
    <w:p>
      <w:pPr>
        <w:pStyle w:val="Compact"/>
        <w:numPr>
          <w:ilvl w:val="0"/>
          <w:numId w:val="1386"/>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387"/>
        </w:numPr>
      </w:pPr>
      <w:r>
        <w:t xml:space="preserve">conferência: sem_doi</w:t>
      </w:r>
    </w:p>
    <w:p>
      <w:pPr>
        <w:pStyle w:val="Compact"/>
        <w:numPr>
          <w:ilvl w:val="0"/>
          <w:numId w:val="1388"/>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389"/>
        </w:numPr>
      </w:pPr>
      <w:r>
        <w:t xml:space="preserve">conferência: sem_doi</w:t>
      </w:r>
    </w:p>
    <w:p>
      <w:pPr>
        <w:pStyle w:val="Compact"/>
        <w:numPr>
          <w:ilvl w:val="0"/>
          <w:numId w:val="1390"/>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391"/>
        </w:numPr>
      </w:pPr>
      <w:r>
        <w:t xml:space="preserve">conferência: sem_doi</w:t>
      </w:r>
    </w:p>
    <w:p>
      <w:pPr>
        <w:pStyle w:val="Compact"/>
        <w:numPr>
          <w:ilvl w:val="0"/>
          <w:numId w:val="1392"/>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393"/>
        </w:numPr>
      </w:pPr>
      <w:r>
        <w:t xml:space="preserve">conferência: sem_doi</w:t>
      </w:r>
    </w:p>
    <w:p>
      <w:pPr>
        <w:pStyle w:val="Compact"/>
        <w:numPr>
          <w:ilvl w:val="0"/>
          <w:numId w:val="1394"/>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395"/>
        </w:numPr>
      </w:pPr>
      <w:r>
        <w:t xml:space="preserve">conferência: sem_doi</w:t>
      </w:r>
    </w:p>
    <w:p>
      <w:pPr>
        <w:pStyle w:val="Compact"/>
        <w:numPr>
          <w:ilvl w:val="0"/>
          <w:numId w:val="1396"/>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397"/>
        </w:numPr>
      </w:pPr>
      <w:r>
        <w:t xml:space="preserve">conferência: sem_doi</w:t>
      </w:r>
    </w:p>
    <w:p>
      <w:pPr>
        <w:pStyle w:val="Compact"/>
        <w:numPr>
          <w:ilvl w:val="0"/>
          <w:numId w:val="1398"/>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399"/>
        </w:numPr>
      </w:pPr>
      <w:r>
        <w:t xml:space="preserve">conferência: sem_doi</w:t>
      </w:r>
    </w:p>
    <w:p>
      <w:pPr>
        <w:pStyle w:val="Compact"/>
        <w:numPr>
          <w:ilvl w:val="0"/>
          <w:numId w:val="1400"/>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01"/>
        </w:numPr>
      </w:pPr>
      <w:r>
        <w:t xml:space="preserve">conferência: sem_doi</w:t>
      </w:r>
    </w:p>
    <w:p>
      <w:pPr>
        <w:pStyle w:val="Compact"/>
        <w:numPr>
          <w:ilvl w:val="0"/>
          <w:numId w:val="1402"/>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17"/>
        </w:numPr>
      </w:pPr>
      <w:r>
        <w:t xml:space="preserve">conferência: sem_doi</w:t>
      </w:r>
    </w:p>
    <w:p>
      <w:pPr>
        <w:pStyle w:val="Compact"/>
        <w:numPr>
          <w:ilvl w:val="0"/>
          <w:numId w:val="1418"/>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19"/>
        </w:numPr>
      </w:pPr>
      <w:r>
        <w:t xml:space="preserve">conferência: sem_doi</w:t>
      </w:r>
    </w:p>
    <w:p>
      <w:pPr>
        <w:pStyle w:val="Compact"/>
        <w:numPr>
          <w:ilvl w:val="0"/>
          <w:numId w:val="1420"/>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21"/>
        </w:numPr>
      </w:pPr>
      <w:r>
        <w:t xml:space="preserve">conferência: VERIFIED</w:t>
      </w:r>
    </w:p>
    <w:p>
      <w:pPr>
        <w:pStyle w:val="Compact"/>
        <w:numPr>
          <w:ilvl w:val="0"/>
          <w:numId w:val="1422"/>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23"/>
        </w:numPr>
      </w:pPr>
      <w:r>
        <w:t xml:space="preserve">conferência: VERIFIED</w:t>
      </w:r>
    </w:p>
    <w:p>
      <w:pPr>
        <w:pStyle w:val="Compact"/>
        <w:numPr>
          <w:ilvl w:val="0"/>
          <w:numId w:val="1424"/>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25"/>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189 frases e linhas de tabela; 45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26"/>
        </w:numPr>
      </w:pPr>
      <w:r>
        <w:t xml:space="preserve">[1.1.3]: 25, 63</w:t>
      </w:r>
    </w:p>
    <w:p>
      <w:pPr>
        <w:pStyle w:val="Compact"/>
        <w:numPr>
          <w:ilvl w:val="0"/>
          <w:numId w:val="1427"/>
        </w:numPr>
      </w:pPr>
      <w:r>
        <w:t xml:space="preserve">[1.2.1]: 27</w:t>
      </w:r>
    </w:p>
    <w:p>
      <w:pPr>
        <w:pStyle w:val="Compact"/>
        <w:numPr>
          <w:ilvl w:val="0"/>
          <w:numId w:val="1428"/>
        </w:numPr>
      </w:pPr>
      <w:r>
        <w:t xml:space="preserve">[3.2.3]: 853</w:t>
      </w:r>
    </w:p>
    <w:p>
      <w:pPr>
        <w:pStyle w:val="Compact"/>
        <w:numPr>
          <w:ilvl w:val="0"/>
          <w:numId w:val="1429"/>
        </w:numPr>
      </w:pPr>
      <w:r>
        <w:t xml:space="preserve">linha «Escolha (H1)»: 25%</w:t>
      </w:r>
    </w:p>
    <w:p>
      <w:pPr>
        <w:pStyle w:val="Compact"/>
        <w:numPr>
          <w:ilvl w:val="0"/>
          <w:numId w:val="1430"/>
        </w:numPr>
      </w:pPr>
      <w:r>
        <w:t xml:space="preserve">linha «Entrega (H5)»: 30%</w:t>
      </w:r>
    </w:p>
    <w:p>
      <w:pPr>
        <w:pStyle w:val="Compact"/>
        <w:numPr>
          <w:ilvl w:val="0"/>
          <w:numId w:val="1431"/>
        </w:numPr>
      </w:pPr>
      <w:r>
        <w:t xml:space="preserve">[4.2.4.1]: 2026</w:t>
      </w:r>
    </w:p>
    <w:p>
      <w:pPr>
        <w:pStyle w:val="Compact"/>
        <w:numPr>
          <w:ilvl w:val="0"/>
          <w:numId w:val="1432"/>
        </w:numPr>
      </w:pPr>
      <w:r>
        <w:t xml:space="preserve">[4.2.5.1]: 2026</w:t>
      </w:r>
    </w:p>
    <w:p>
      <w:pPr>
        <w:pStyle w:val="Compact"/>
        <w:numPr>
          <w:ilvl w:val="0"/>
          <w:numId w:val="1433"/>
        </w:numPr>
      </w:pPr>
      <w:r>
        <w:t xml:space="preserve">[4.2.6.4]: 400</w:t>
      </w:r>
    </w:p>
    <w:p>
      <w:pPr>
        <w:pStyle w:val="Compact"/>
        <w:numPr>
          <w:ilvl w:val="0"/>
          <w:numId w:val="1434"/>
        </w:numPr>
      </w:pPr>
      <w:r>
        <w:t xml:space="preserve">[4.2.10.1]: 30%</w:t>
      </w:r>
    </w:p>
    <w:p>
      <w:pPr>
        <w:pStyle w:val="Compact"/>
        <w:numPr>
          <w:ilvl w:val="0"/>
          <w:numId w:val="1435"/>
        </w:numPr>
      </w:pPr>
      <w:r>
        <w:t xml:space="preserve">[5.1.2.1]: 1</w:t>
      </w:r>
    </w:p>
    <w:p>
      <w:pPr>
        <w:pStyle w:val="Compact"/>
        <w:numPr>
          <w:ilvl w:val="0"/>
          <w:numId w:val="1436"/>
        </w:numPr>
      </w:pPr>
      <w:r>
        <w:t xml:space="preserve">[5.1.2.2]: 1, 0</w:t>
      </w:r>
    </w:p>
    <w:p>
      <w:pPr>
        <w:pStyle w:val="Compact"/>
        <w:numPr>
          <w:ilvl w:val="0"/>
          <w:numId w:val="1437"/>
        </w:numPr>
      </w:pPr>
      <w:r>
        <w:t xml:space="preserve">[5.1.3.1]: 0</w:t>
      </w:r>
    </w:p>
    <w:p>
      <w:pPr>
        <w:pStyle w:val="Compact"/>
        <w:numPr>
          <w:ilvl w:val="0"/>
          <w:numId w:val="1438"/>
        </w:numPr>
      </w:pPr>
      <w:r>
        <w:t xml:space="preserve">linha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w:t>
      </w:r>
      <w:r>
        <w:t xml:space="preserve">(H1, H4)»: 0</w:t>
      </w:r>
    </w:p>
    <w:p>
      <w:pPr>
        <w:pStyle w:val="Compact"/>
        <w:numPr>
          <w:ilvl w:val="0"/>
          <w:numId w:val="1439"/>
        </w:numPr>
      </w:pPr>
      <w:r>
        <w:t xml:space="preserve">[5.2.2.3]: 25</w:t>
      </w:r>
    </w:p>
    <w:p>
      <w:pPr>
        <w:pStyle w:val="Compact"/>
        <w:numPr>
          <w:ilvl w:val="0"/>
          <w:numId w:val="1440"/>
        </w:numPr>
      </w:pPr>
      <w:r>
        <w:t xml:space="preserve">[5.2.2.4]: 86</w:t>
      </w:r>
    </w:p>
    <w:p>
      <w:pPr>
        <w:pStyle w:val="Compact"/>
        <w:numPr>
          <w:ilvl w:val="0"/>
          <w:numId w:val="1441"/>
        </w:numPr>
      </w:pPr>
      <w:r>
        <w:t xml:space="preserve">[5.4.2.1]: 5%, 80%</w:t>
      </w:r>
    </w:p>
    <w:p>
      <w:pPr>
        <w:pStyle w:val="Compact"/>
        <w:numPr>
          <w:ilvl w:val="0"/>
          <w:numId w:val="1442"/>
        </w:numPr>
      </w:pPr>
      <w:r>
        <w:t xml:space="preserve">[5.4.2.2]: 0,3, 0,7</w:t>
      </w:r>
    </w:p>
    <w:bookmarkEnd w:id="33"/>
    <w:bookmarkStart w:id="34" w:name="regra-de-norma-11"/>
    <w:p>
      <w:pPr>
        <w:pStyle w:val="Heading3"/>
      </w:pPr>
      <w:r>
        <w:t xml:space="preserve">Regra de norma (11)</w:t>
      </w:r>
    </w:p>
    <w:p>
      <w:pPr>
        <w:pStyle w:val="Compact"/>
        <w:numPr>
          <w:ilvl w:val="0"/>
          <w:numId w:val="1443"/>
        </w:numPr>
      </w:pPr>
      <w:r>
        <w:t xml:space="preserve">[2.1.4]: 100%</w:t>
      </w:r>
    </w:p>
    <w:p>
      <w:pPr>
        <w:pStyle w:val="Compact"/>
        <w:numPr>
          <w:ilvl w:val="0"/>
          <w:numId w:val="1444"/>
        </w:numPr>
      </w:pPr>
      <w:r>
        <w:t xml:space="preserve">linha «Benefício ao patrocinador»: 100%</w:t>
      </w:r>
    </w:p>
    <w:p>
      <w:pPr>
        <w:pStyle w:val="Compact"/>
        <w:numPr>
          <w:ilvl w:val="0"/>
          <w:numId w:val="1445"/>
        </w:numPr>
      </w:pPr>
      <w:r>
        <w:t xml:space="preserve">linha «Teto anual»: 31, 01, 2%, 15, 10, 25</w:t>
      </w:r>
    </w:p>
    <w:p>
      <w:pPr>
        <w:pStyle w:val="Compact"/>
        <w:numPr>
          <w:ilvl w:val="0"/>
          <w:numId w:val="1446"/>
        </w:numPr>
      </w:pPr>
      <w:r>
        <w:t xml:space="preserve">linha «Patrocinador»: 20%, 15%, 10%, 5%</w:t>
      </w:r>
    </w:p>
    <w:p>
      <w:pPr>
        <w:pStyle w:val="Compact"/>
        <w:numPr>
          <w:ilvl w:val="0"/>
          <w:numId w:val="1447"/>
        </w:numPr>
      </w:pPr>
      <w:r>
        <w:t xml:space="preserve">linha «Proponentes»: 2, 3</w:t>
      </w:r>
    </w:p>
    <w:p>
      <w:pPr>
        <w:pStyle w:val="Compact"/>
        <w:numPr>
          <w:ilvl w:val="0"/>
          <w:numId w:val="1448"/>
        </w:numPr>
      </w:pPr>
      <w:r>
        <w:t xml:space="preserve">linha «Linhas e limite por projeto»: 1, 300, 001</w:t>
      </w:r>
    </w:p>
    <w:p>
      <w:pPr>
        <w:pStyle w:val="Compact"/>
        <w:numPr>
          <w:ilvl w:val="0"/>
          <w:numId w:val="1449"/>
        </w:numPr>
      </w:pPr>
      <w:r>
        <w:t xml:space="preserve">linha «Alocação entre habilitados»: 30%, 10, 10%, 50%</w:t>
      </w:r>
    </w:p>
    <w:p>
      <w:pPr>
        <w:pStyle w:val="Compact"/>
        <w:numPr>
          <w:ilvl w:val="0"/>
          <w:numId w:val="1450"/>
        </w:numPr>
      </w:pPr>
      <w:r>
        <w:t xml:space="preserve">linha «Custos com o recurso incentivado»: 10%, 15, 25%</w:t>
      </w:r>
    </w:p>
    <w:p>
      <w:pPr>
        <w:pStyle w:val="Compact"/>
        <w:numPr>
          <w:ilvl w:val="0"/>
          <w:numId w:val="1451"/>
        </w:numPr>
      </w:pPr>
      <w:r>
        <w:t xml:space="preserve">[4.2.7.3]: 35%</w:t>
      </w:r>
    </w:p>
    <w:p>
      <w:pPr>
        <w:pStyle w:val="Compact"/>
        <w:numPr>
          <w:ilvl w:val="0"/>
          <w:numId w:val="1452"/>
        </w:numPr>
      </w:pPr>
      <w:r>
        <w:t xml:space="preserve">[4.2.9.2]: 1, 3</w:t>
      </w:r>
    </w:p>
    <w:p>
      <w:pPr>
        <w:pStyle w:val="Compact"/>
        <w:numPr>
          <w:ilvl w:val="0"/>
          <w:numId w:val="1453"/>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2"/>
  </w:num>
  <w:num w:numId="1087">
    <w:abstractNumId w:val="991"/>
  </w:num>
  <w:num w:numId="1088">
    <w:abstractNumId w:val="991"/>
  </w:num>
  <w:num w:numId="1089">
    <w:abstractNumId w:val="992"/>
  </w:num>
  <w:num w:numId="1090">
    <w:abstractNumId w:val="992"/>
  </w:num>
  <w:num w:numId="1091">
    <w:abstractNumId w:val="991"/>
  </w:num>
  <w:num w:numId="1092">
    <w:abstractNumId w:val="992"/>
  </w:num>
  <w:num w:numId="1093">
    <w:abstractNumId w:val="992"/>
  </w:num>
  <w:num w:numId="1094">
    <w:abstractNumId w:val="992"/>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2"/>
  </w:num>
  <w:num w:numId="1125">
    <w:abstractNumId w:val="991"/>
  </w:num>
  <w:num w:numId="1126">
    <w:abstractNumId w:val="992"/>
  </w:num>
  <w:num w:numId="1127">
    <w:abstractNumId w:val="992"/>
  </w:num>
  <w:num w:numId="1128">
    <w:abstractNumId w:val="992"/>
  </w:num>
  <w:num w:numId="1129">
    <w:abstractNumId w:val="992"/>
  </w:num>
  <w:num w:numId="1130">
    <w:abstractNumId w:val="992"/>
  </w:num>
  <w:num w:numId="1131">
    <w:abstractNumId w:val="991"/>
  </w:num>
  <w:num w:numId="1132">
    <w:abstractNumId w:val="992"/>
  </w:num>
  <w:num w:numId="1133">
    <w:abstractNumId w:val="991"/>
  </w:num>
  <w:num w:numId="1134">
    <w:abstractNumId w:val="992"/>
  </w:num>
  <w:num w:numId="1135">
    <w:abstractNumId w:val="991"/>
  </w:num>
  <w:num w:numId="1136">
    <w:abstractNumId w:val="992"/>
  </w:num>
  <w:num w:numId="1137">
    <w:abstractNumId w:val="991"/>
  </w:num>
  <w:num w:numId="1138">
    <w:abstractNumId w:val="992"/>
  </w:num>
  <w:num w:numId="1139">
    <w:abstractNumId w:val="991"/>
  </w:num>
  <w:num w:numId="1140">
    <w:abstractNumId w:val="992"/>
  </w:num>
  <w:num w:numId="1141">
    <w:abstractNumId w:val="991"/>
  </w:num>
  <w:num w:numId="1142">
    <w:abstractNumId w:val="992"/>
  </w:num>
  <w:num w:numId="1143">
    <w:abstractNumId w:val="991"/>
  </w:num>
  <w:num w:numId="1144">
    <w:abstractNumId w:val="991"/>
  </w:num>
  <w:num w:numId="1145">
    <w:abstractNumId w:val="992"/>
  </w:num>
  <w:num w:numId="1146">
    <w:abstractNumId w:val="991"/>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2"/>
  </w:num>
  <w:num w:numId="1156">
    <w:abstractNumId w:val="991"/>
  </w:num>
  <w:num w:numId="1157">
    <w:abstractNumId w:val="991"/>
  </w:num>
  <w:num w:numId="1158">
    <w:abstractNumId w:val="992"/>
  </w:num>
  <w:num w:numId="1159">
    <w:abstractNumId w:val="991"/>
  </w:num>
  <w:num w:numId="1160">
    <w:abstractNumId w:val="992"/>
  </w:num>
  <w:num w:numId="1161">
    <w:abstractNumId w:val="992"/>
  </w:num>
  <w:num w:numId="1162">
    <w:abstractNumId w:val="991"/>
  </w:num>
  <w:num w:numId="1163">
    <w:abstractNumId w:val="992"/>
  </w:num>
  <w:num w:numId="1164">
    <w:abstractNumId w:val="991"/>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2"/>
  </w:num>
  <w:num w:numId="1172">
    <w:abstractNumId w:val="991"/>
  </w:num>
  <w:num w:numId="1173">
    <w:abstractNumId w:val="992"/>
  </w:num>
  <w:num w:numId="1174">
    <w:abstractNumId w:val="991"/>
  </w:num>
  <w:num w:numId="1175">
    <w:abstractNumId w:val="992"/>
  </w:num>
  <w:num w:numId="1176">
    <w:abstractNumId w:val="991"/>
  </w:num>
  <w:num w:numId="1177">
    <w:abstractNumId w:val="992"/>
  </w:num>
  <w:num w:numId="1178">
    <w:abstractNumId w:val="991"/>
  </w:num>
  <w:num w:numId="1179">
    <w:abstractNumId w:val="992"/>
  </w:num>
  <w:num w:numId="1180">
    <w:abstractNumId w:val="991"/>
  </w:num>
  <w:num w:numId="1181">
    <w:abstractNumId w:val="992"/>
  </w:num>
  <w:num w:numId="1182">
    <w:abstractNumId w:val="991"/>
  </w:num>
  <w:num w:numId="1183">
    <w:abstractNumId w:val="992"/>
  </w:num>
  <w:num w:numId="1184">
    <w:abstractNumId w:val="991"/>
  </w:num>
  <w:num w:numId="1185">
    <w:abstractNumId w:val="992"/>
  </w:num>
  <w:num w:numId="1186">
    <w:abstractNumId w:val="991"/>
  </w:num>
  <w:num w:numId="1187">
    <w:abstractNumId w:val="992"/>
  </w:num>
  <w:num w:numId="1188">
    <w:abstractNumId w:val="991"/>
  </w:num>
  <w:num w:numId="1189">
    <w:abstractNumId w:val="992"/>
  </w:num>
  <w:num w:numId="1190">
    <w:abstractNumId w:val="991"/>
  </w:num>
  <w:num w:numId="1191">
    <w:abstractNumId w:val="992"/>
  </w:num>
  <w:num w:numId="1192">
    <w:abstractNumId w:val="991"/>
  </w:num>
  <w:num w:numId="1193">
    <w:abstractNumId w:val="992"/>
  </w:num>
  <w:num w:numId="1194">
    <w:abstractNumId w:val="991"/>
  </w:num>
  <w:num w:numId="1195">
    <w:abstractNumId w:val="992"/>
  </w:num>
  <w:num w:numId="1196">
    <w:abstractNumId w:val="991"/>
  </w:num>
  <w:num w:numId="1197">
    <w:abstractNumId w:val="992"/>
  </w:num>
  <w:num w:numId="1198">
    <w:abstractNumId w:val="992"/>
  </w:num>
  <w:num w:numId="1199">
    <w:abstractNumId w:val="991"/>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1"/>
  </w:num>
  <w:num w:numId="1207">
    <w:abstractNumId w:val="992"/>
  </w:num>
  <w:num w:numId="1208">
    <w:abstractNumId w:val="991"/>
  </w:num>
  <w:num w:numId="1209">
    <w:abstractNumId w:val="992"/>
  </w:num>
  <w:num w:numId="1210">
    <w:abstractNumId w:val="991"/>
  </w:num>
  <w:num w:numId="1211">
    <w:abstractNumId w:val="992"/>
  </w:num>
  <w:num w:numId="1212">
    <w:abstractNumId w:val="992"/>
  </w:num>
  <w:num w:numId="1213">
    <w:abstractNumId w:val="991"/>
  </w:num>
  <w:num w:numId="1214">
    <w:abstractNumId w:val="992"/>
  </w:num>
  <w:num w:numId="1215">
    <w:abstractNumId w:val="991"/>
  </w:num>
  <w:num w:numId="1216">
    <w:abstractNumId w:val="992"/>
  </w:num>
  <w:num w:numId="1217">
    <w:abstractNumId w:val="992"/>
  </w:num>
  <w:num w:numId="1218">
    <w:abstractNumId w:val="992"/>
  </w:num>
  <w:num w:numId="1219">
    <w:abstractNumId w:val="991"/>
  </w:num>
  <w:num w:numId="1220">
    <w:abstractNumId w:val="992"/>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2"/>
  </w:num>
  <w:num w:numId="1230">
    <w:abstractNumId w:val="991"/>
  </w:num>
  <w:num w:numId="1231">
    <w:abstractNumId w:val="992"/>
  </w:num>
  <w:num w:numId="1232">
    <w:abstractNumId w:val="991"/>
  </w:num>
  <w:num w:numId="1233">
    <w:abstractNumId w:val="992"/>
  </w:num>
  <w:num w:numId="1234">
    <w:abstractNumId w:val="992"/>
  </w:num>
  <w:num w:numId="1235">
    <w:abstractNumId w:val="992"/>
  </w:num>
  <w:num w:numId="1236">
    <w:abstractNumId w:val="991"/>
  </w:num>
  <w:num w:numId="1237">
    <w:abstractNumId w:val="992"/>
  </w:num>
  <w:num w:numId="1238">
    <w:abstractNumId w:val="991"/>
  </w:num>
  <w:num w:numId="1239">
    <w:abstractNumId w:val="992"/>
  </w:num>
  <w:num w:numId="1240">
    <w:abstractNumId w:val="991"/>
  </w:num>
  <w:num w:numId="1241">
    <w:abstractNumId w:val="992"/>
  </w:num>
  <w:num w:numId="1242">
    <w:abstractNumId w:val="991"/>
  </w:num>
  <w:num w:numId="1243">
    <w:abstractNumId w:val="992"/>
  </w:num>
  <w:num w:numId="1244">
    <w:abstractNumId w:val="991"/>
  </w:num>
  <w:num w:numId="1245">
    <w:abstractNumId w:val="992"/>
  </w:num>
  <w:num w:numId="1246">
    <w:abstractNumId w:val="992"/>
  </w:num>
  <w:num w:numId="1247">
    <w:abstractNumId w:val="992"/>
  </w:num>
  <w:num w:numId="1248">
    <w:abstractNumId w:val="991"/>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1"/>
  </w:num>
  <w:num w:numId="1262">
    <w:abstractNumId w:val="992"/>
  </w:num>
  <w:num w:numId="1263">
    <w:abstractNumId w:val="992"/>
  </w:num>
  <w:num w:numId="1264">
    <w:abstractNumId w:val="992"/>
  </w:num>
  <w:num w:numId="1265">
    <w:abstractNumId w:val="992"/>
  </w:num>
  <w:num w:numId="1266">
    <w:abstractNumId w:val="991"/>
  </w:num>
  <w:num w:numId="1267">
    <w:abstractNumId w:val="992"/>
  </w:num>
  <w:num w:numId="1268">
    <w:abstractNumId w:val="991"/>
  </w:num>
  <w:num w:numId="1269">
    <w:abstractNumId w:val="992"/>
  </w:num>
  <w:num w:numId="1270">
    <w:abstractNumId w:val="991"/>
  </w:num>
  <w:num w:numId="1271">
    <w:abstractNumId w:val="992"/>
  </w:num>
  <w:num w:numId="1272">
    <w:abstractNumId w:val="991"/>
  </w:num>
  <w:num w:numId="1273">
    <w:abstractNumId w:val="992"/>
  </w:num>
  <w:num w:numId="1274">
    <w:abstractNumId w:val="992"/>
  </w:num>
  <w:num w:numId="1275">
    <w:abstractNumId w:val="992"/>
  </w:num>
  <w:num w:numId="1276">
    <w:abstractNumId w:val="991"/>
  </w:num>
  <w:num w:numId="1277">
    <w:abstractNumId w:val="991"/>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1"/>
  </w:num>
  <w:num w:numId="1286">
    <w:abstractNumId w:val="992"/>
  </w:num>
  <w:num w:numId="1287">
    <w:abstractNumId w:val="992"/>
  </w:num>
  <w:num w:numId="1288">
    <w:abstractNumId w:val="991"/>
  </w:num>
  <w:num w:numId="1289">
    <w:abstractNumId w:val="992"/>
  </w:num>
  <w:num w:numId="1290">
    <w:abstractNumId w:val="991"/>
  </w:num>
  <w:num w:numId="1291">
    <w:abstractNumId w:val="991"/>
  </w:num>
  <w:num w:numId="1292">
    <w:abstractNumId w:val="992"/>
  </w:num>
  <w:num w:numId="1293">
    <w:abstractNumId w:val="991"/>
  </w:num>
  <w:num w:numId="1294">
    <w:abstractNumId w:val="992"/>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2"/>
  </w:num>
  <w:num w:numId="1306">
    <w:abstractNumId w:val="991"/>
  </w:num>
  <w:num w:numId="1307">
    <w:abstractNumId w:val="992"/>
  </w:num>
  <w:num w:numId="1308">
    <w:abstractNumId w:val="991"/>
  </w:num>
  <w:num w:numId="1309">
    <w:abstractNumId w:val="992"/>
  </w:num>
  <w:num w:numId="1310">
    <w:abstractNumId w:val="991"/>
  </w:num>
  <w:num w:numId="1311">
    <w:abstractNumId w:val="992"/>
  </w:num>
  <w:num w:numId="1312">
    <w:abstractNumId w:val="991"/>
  </w:num>
  <w:num w:numId="1313">
    <w:abstractNumId w:val="991"/>
  </w:num>
  <w:num w:numId="1314">
    <w:abstractNumId w:val="992"/>
  </w:num>
  <w:num w:numId="1315">
    <w:abstractNumId w:val="992"/>
  </w:num>
  <w:num w:numId="1316">
    <w:abstractNumId w:val="992"/>
  </w:num>
  <w:num w:numId="1317">
    <w:abstractNumId w:val="992"/>
  </w:num>
  <w:num w:numId="1318">
    <w:abstractNumId w:val="991"/>
  </w:num>
  <w:num w:numId="1319">
    <w:abstractNumId w:val="992"/>
  </w:num>
  <w:num w:numId="1320">
    <w:abstractNumId w:val="992"/>
  </w:num>
  <w:num w:numId="1321">
    <w:abstractNumId w:val="991"/>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1"/>
  </w:num>
  <w:num w:numId="1330">
    <w:abstractNumId w:val="992"/>
  </w:num>
  <w:num w:numId="1331">
    <w:abstractNumId w:val="991"/>
  </w:num>
  <w:num w:numId="1332">
    <w:abstractNumId w:val="992"/>
  </w:num>
  <w:num w:numId="1333">
    <w:abstractNumId w:val="991"/>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2026-09-28T21:38:25Z</dcterms:created>
  <dcterms:modified xsi:type="dcterms:W3CDTF">2026-09-28T21:38:25Z</dcterms:modified>
</cp:coreProperties>
</file>

<file path=docProps/custom.xml><?xml version="1.0" encoding="utf-8"?>
<Properties xmlns="http://schemas.openxmlformats.org/officeDocument/2006/custom-properties" xmlns:vt="http://schemas.openxmlformats.org/officeDocument/2006/docPropsVTypes"/>
</file>