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[Autor(a) 1] e [Autor(a) 2]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contribuintes do ICMS destinem a projetos culturais habilitados pela Secretaria da Cultura (SECULT) valores que recuperam integralmente como crédito presumido do imposto. Este artigo avalia o desenho da política como ela está e estrutura uma avaliação de impacto. Reconstruímos a teoria da mudança, separando entrada, financiamento e entrega, e auditamos cinco premissas com os anexos oficiais de 2022 a 2026 e o Mapa Cultural. Duas premissas não são atendidas pelo desenho: a habilitação qualifica sem priorizar, e o excesso de demanda é racionado pela ordem de chegada dos termos de patrocínio. Em 2023 e 2024, termos equivalentes a 28% e 35% do montante foram indeferidos. A premissa de que as empresas escolhem pelo interesse público é contestada: duas empresas respondem por metade da renúncia de 2025, mas a escolha não mostra viés territorial forte. A entrada e a entrega são indeterminadas, porque a SECULT não publica os inscritos nem o público alcançado. Propomos três perguntas de avaliação (a adicionalidade do financiamento, o efeito do atrito na entrada e o papel da avaliação da SECULT), com parâmetros, vieses, estratégias candidatas, fontes de dados e poder estatístico.</w:t>
      </w:r>
    </w:p>
    <w:p>
      <w:pPr>
        <w:pStyle w:val="BodyText"/>
      </w:pPr>
      <w:r>
        <w:rPr>
          <w:b/>
          <w:bCs/>
        </w:rPr>
        <w:t xml:space="preserve">Palavras-chave:</w:t>
      </w:r>
      <w:r>
        <w:t xml:space="preserve"> </w:t>
      </w:r>
      <w:r>
        <w:t xml:space="preserve">incentivo fiscal à cultura; gasto tributário; teoria da mudança; funil de atrito; avaliação de impacto.</w:t>
      </w:r>
    </w:p>
    <w:bookmarkStart w:id="12" w:name="introdução"/>
    <w:p>
      <w:pPr>
        <w:pStyle w:val="Heading1"/>
      </w:pPr>
      <w:r>
        <w:t xml:space="preserve">1 Introdução</w:t>
      </w:r>
    </w:p>
    <w:p>
      <w:pPr>
        <w:pStyle w:val="FirstParagraph"/>
      </w:pPr>
      <w:r>
        <w:t xml:space="preserve">Em 2021, o Espírito Santo criou um mecanismo estadual de incentivo fiscal à cultura, descrito pela própria Secretaria da Cultura como iniciativa inédita no estado (SECULT, [202-]). A Lei estadual nº 11.246/2021 incluiu na lei do ICMS um crédito presumido igual ao valor que o contribuinte destina a projetos culturais credenciados pela SECULT, com efeitos a partir de 2022 (ESPÍRITO SANTO, 2021a). A Lei de Incentivo à Cultura Capixaba, como o mecanismo passou a ser chamado no regulamento (ESPÍRITO SANTO, 2021b), cresceu depressa: o montante anual de renúncia passou de R$ 15 milhões em 2023 para R$ 31 milhões em 2026,</w:t>
      </w:r>
      <w:r>
        <w:rPr>
          <w:rStyle w:val="FootnoteReference"/>
        </w:rPr>
        <w:footnoteReference w:id="9"/>
      </w:r>
      <w:r>
        <w:t xml:space="preserve"> </w:t>
      </w:r>
      <w:r>
        <w:t xml:space="preserve">e 463 projetos foram habilitados a captar R$ 184 milhões nos cinco ciclos (459 com valor publicado). De 2023 a 2025, a captação esgotou o montante de cada ano ao centavo; em 2025, 63 projetos captaram exatamente R$ 25.000.000,00.</w:t>
      </w:r>
      <w:r>
        <w:rPr>
          <w:rStyle w:val="FootnoteReference"/>
        </w:rPr>
        <w:footnoteReference w:id="10"/>
      </w:r>
    </w:p>
    <w:p>
      <w:pPr>
        <w:pStyle w:val="BodyText"/>
      </w:pPr>
      <w:r>
        <w:t xml:space="preserve">Nenhuma das normas da LICC diz qual problema ela enfrenta. O diagnóstico precisa ser reconstruído. O setor cultural capixaba é pequeno para o tamanho da economia do estado: em 2024, ocupava 4,2% dos trabalhadores do ES, contra 5,8% no país, a 18ª participação entre as 27 unidades da federação (IBGE, 2025). A desigualdade relevante, porém, é interna. Em 2021, 95% da população da Região Metropolitana da Grande Vitória (RMGV) vivia em município com cinema, contra 34% da população do interior; metade dos municípios do interior não tinha fundo municipal de cultura e só 16% tinham plano municipal (IBGE, 2022). Propomos, por isso, formular o problema como uma carência:</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de capacidade institucional e na dependência de poucos financiadores.</w:t>
      </w:r>
    </w:p>
    <w:p>
      <w:pPr>
        <w:pStyle w:val="BodyText"/>
      </w:pPr>
      <w:r>
        <w:t xml:space="preserve">Avaliar a LICC se justifica por três razões. Primeiro, é gasto público que não passa pelo lado da despesa do orçamento: a renúncia efetiva equivale a 14% a 21% do gasto estadual direto na função cultura em 2022-2025 (SECULT, 2026c; BRASIL, 2026a). Segundo, quem decide o destino do recurso é a empresa patrocinadora, e não o Estado, o que torna a política exposta às críticas de concentração e de lógica de marketing feitas à Lei Rouanet (SILVA, 2017; DEKKER; RODRIGUES, 2019). Terceiro, a política é nova e muda de regra a cada ano; sua primeira avaliação, conduzida pelo Instituto Jones dos Santos Neves com a SECULT e a FAPES, teve resultados preliminares apresentados em julho de 2026 (SECULT, 2026d), aos quais este artigo não teve acesso.</w:t>
      </w:r>
    </w:p>
    <w:p>
      <w:pPr>
        <w:pStyle w:val="BodyText"/>
      </w:pPr>
      <w:r>
        <w:t xml:space="preserve">O artigo tem dois objetivos, definidos pela disciplina: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reconstrói a teoria da mudança e audita suas premissas com os dados administrativos; a seção 5 transforma as premissas em perguntas de avaliação de impacto; a seção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com escolha privada</w:t>
      </w:r>
      <w:r>
        <w:t xml:space="preserve">. O proponente, pessoa jurídica com finalidade cultural e sede no estado há dois anos, inscreve o projeto na SECULT. Se o projeto for habilitado, o proponente procura uma empresa contribuinte do ICMS que aceite patrocinar. A empresa deposita o valor numa conta do projeto e compensa até 100% dele com o ICMS devido (ESPÍRITO SANTO, 2021b, art. 10). Não há contrapartida financeira da empresa. O Quadro 1 resume as regras.</w:t>
      </w:r>
    </w:p>
    <w:p>
      <w:pPr>
        <w:pStyle w:val="BodyText"/>
        <w:keepNext/>
      </w:pPr>
      <w:r>
        <w:rPr>
          <w:b/>
          <w:bCs/>
        </w:rPr>
        <w:t xml:space="preserve">Quadro 1 – Elementos do desenho da LICC</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4080"/>
        <w:gridCol w:w="2160"/>
      </w:tblGrid>
      <w:tr>
        <w:trPr>
          <w:tblHeader w:val="on"/>
          <w:tblHeader w:val="true"/>
        </w:trPr>
        <w:tc>
          <w:tcPr/>
          <w:p>
            <w:pPr>
              <w:pStyle w:val="Compact"/>
              <w:spacing w:after="0" w:before="0"/>
              <w:jc w:val="left"/>
            </w:pPr>
            <w:r>
              <w:rPr>
                <w:b/>
                <w:sz w:val="20"/>
              </w:rPr>
              <w:t xml:space="preserve">Elemento</w:t>
            </w:r>
          </w:p>
        </w:tc>
        <w:tc>
          <w:tcPr/>
          <w:p>
            <w:pPr>
              <w:pStyle w:val="Compact"/>
              <w:spacing w:after="0" w:before="0"/>
              <w:jc w:val="left"/>
            </w:pPr>
            <w:r>
              <w:rPr>
                <w:b/>
                <w:sz w:val="20"/>
              </w:rPr>
              <w:t xml:space="preserve">Regra vigente</w:t>
            </w:r>
          </w:p>
        </w:tc>
        <w:tc>
          <w:tcPr/>
          <w:p>
            <w:pPr>
              <w:pStyle w:val="Compact"/>
              <w:spacing w:after="0" w:before="0"/>
              <w:jc w:val="left"/>
            </w:pPr>
            <w:r>
              <w:rPr>
                <w:b/>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no anexo de captação da SECULT),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Limite por patrocinador</w:t>
            </w:r>
          </w:p>
        </w:tc>
        <w:tc>
          <w:tcPr/>
          <w:p>
            <w:pPr>
              <w:pStyle w:val="Compact"/>
              <w:spacing w:after="0" w:before="0"/>
              <w:jc w:val="left"/>
            </w:pPr>
            <w:r>
              <w:rPr>
                <w:sz w:val="20"/>
              </w:rPr>
              <w:t xml:space="preserve">20%, 15%, 10% ou 5% do ICMS recolhido no ano anterior, conforme a faixa de imposto</w:t>
            </w:r>
          </w:p>
        </w:tc>
        <w:tc>
          <w:tcPr/>
          <w:p>
            <w:pPr>
              <w:pStyle w:val="Compact"/>
              <w:spacing w:after="0" w:before="0"/>
              <w:jc w:val="left"/>
            </w:pPr>
            <w:r>
              <w:rPr>
                <w:sz w:val="20"/>
              </w:rPr>
              <w:t xml:space="preserve">Dec. 5.035-R/2021, art. 10, § 1º</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Limite por projeto</w:t>
            </w:r>
          </w:p>
        </w:tc>
        <w:tc>
          <w:tcPr/>
          <w:p>
            <w:pPr>
              <w:pStyle w:val="Compact"/>
              <w:spacing w:after="0" w:before="0"/>
              <w:jc w:val="left"/>
            </w:pPr>
            <w:r>
              <w:rPr>
                <w:sz w:val="20"/>
              </w:rPr>
              <w:t xml:space="preserve">R$ 500 mil; R$ 300 mil em primeira edição; R$ 1 milhão para patrimônio e longa-metragem</w:t>
            </w:r>
          </w:p>
        </w:tc>
        <w:tc>
          <w:tcPr/>
          <w:p>
            <w:pPr>
              <w:pStyle w:val="Compact"/>
              <w:spacing w:after="0" w:before="0"/>
              <w:jc w:val="left"/>
            </w:pPr>
            <w:r>
              <w:rPr>
                <w:sz w:val="20"/>
              </w:rPr>
              <w:t xml:space="preserve">IN 001/2025, arts.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e deliberação de comissão paritária (CAP) sobre nove critérios qualitativos, sem pontuação prevista em norma; resultado binário</w:t>
            </w:r>
          </w:p>
        </w:tc>
        <w:tc>
          <w:tcPr/>
          <w:p>
            <w:pPr>
              <w:pStyle w:val="Compact"/>
              <w:spacing w:after="0" w:before="0"/>
              <w:jc w:val="left"/>
            </w:pPr>
            <w:r>
              <w:rPr>
                <w:sz w:val="20"/>
              </w:rPr>
              <w:t xml:space="preserve">Dec. 5.035-R/2021, art. 14; IN 001/2025, arts. 37-42</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focada no cumprimento do objeto; fiscalização presencial por amostragem</w:t>
            </w:r>
          </w:p>
        </w:tc>
        <w:tc>
          <w:tcPr/>
          <w:p>
            <w:pPr>
              <w:pStyle w:val="Compact"/>
              <w:spacing w:after="0" w:before="0"/>
              <w:jc w:val="left"/>
            </w:pPr>
            <w:r>
              <w:rPr>
                <w:sz w:val="20"/>
              </w:rPr>
              <w:t xml:space="preserve">Dec. 5.035-R/2021, arts. 17-19</w:t>
            </w:r>
          </w:p>
        </w:tc>
      </w:tr>
    </w:tbl>
    <w:p>
      <w:pPr>
        <w:pStyle w:val="BodyText"/>
      </w:pPr>
      <w:r>
        <w:rPr>
          <w:sz w:val="20"/>
        </w:rPr>
        <w:t xml:space="preserve">Fonte: elaboração própria a partir das normas citadas (ESPÍRITO SANTO, 2021a; 2021b; SECULT,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e, alegando esgotamento do teto, fechou as inscrições no meio de 2024 e alterou o fluxo de habilitação no meio de 2025 (SECULT, 2024b; 2025b). Em 2023 e 2024, a comissão habilitava o projeto e abria um prazo de captação de um ano, prorrogável uma vez; o projeto que terminasse o prazo sem compromissos de ao menos 50% do valor aprovado era arquivado (SECULT, 2023a; 2024a, arts. 32-36). Em 2025 a ordem se inverteu: o projeto só vai à comissão com termos de patrocínio de ao menos 35% do valor (SECULT, 2025a, arts. 41-45) ou, desde maio, com carta de intenção de patrocínio apresentada em 120 dias, sob pena de arquivamento (SECULT, 2025b). A terceira é a</w:t>
      </w:r>
      <w:r>
        <w:t xml:space="preserve"> </w:t>
      </w:r>
      <w:r>
        <w:rPr>
          <w:b/>
          <w:bCs/>
        </w:rPr>
        <w:t xml:space="preserve">pouca informação publicada</w:t>
      </w:r>
      <w:r>
        <w:t xml:space="preserve">: os anexos não trazem o CNPJ do proponente, a sede, os inscritos não habilitados nem qualquer indicador de resultado.</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contribuinte decide a alocação e o Tesouro paga a conta. Feld, O’Hare e Schuster (1983) chamaram os contribuintes americanos de</w:t>
      </w:r>
      <w:r>
        <w:t xml:space="preserve"> </w:t>
      </w:r>
      <w:r>
        <w:t xml:space="preserve">“mecenas apesar de si mesmos”</w:t>
      </w:r>
      <w:r>
        <w:t xml:space="preserve">; Schuster (2006) sistematiza os instrumentos; Brooks (2004) mostra que, nos Estados Unidos, a renúncia supera muitas vezes o apoio federal direto às artes e serve a públicos diferentes. A justificativa econômica usual é de falha de mercado: a produtividade estagnada das artes ao vivo (BAUMOL; BOWEN, 1966) e o caráter de bem público ou meritório da cultura (THROSBY, 1994). O crédito de 100% da LICC ocupa o extremo desse espectro: o doador não tem custo líquido algum.</w:t>
      </w:r>
    </w:p>
    <w:p>
      <w:pPr>
        <w:pStyle w:val="BodyText"/>
      </w:pPr>
      <w:r>
        <w:rPr>
          <w:b/>
          <w:bCs/>
        </w:rPr>
        <w:t xml:space="preserve">A experiência brasileira com a Lei Rouanet.</w:t>
      </w:r>
      <w:r>
        <w:t xml:space="preserve"> </w:t>
      </w:r>
      <w:r>
        <w:t xml:space="preserve">A LICC reproduz o núcleo do mecenato federal, que acumula três décadas de crítica. Os estudos documentam concentração regional no Sudeste, sobretudo em São Paulo e no Rio de Janeiro (SILVA, 2017; TEIXEIRA; XAVIER; FARIA, 2024), maior que a do PIB (GUIMARÃES, 2020), concentração persistente de patrocinadores e proponentes (COSTA; MEDEIROS; BUCCO, 2017) e a formação de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fica claro qual falha de mercado ela corrige. O Tribunal de Contas da União recomendou que as ações financiadas por renúncias tenham objetivos, indicadores e metas (BRASIL, 2014) e determinou ao Ministério da Cultura que não autorizasse a captação por projetos com forte potencial lucrativo ou capacidade de atrair investimento privado suficiente (BRASIL, 2016). Silva (2017) oferece o contraponto: a concentração convive com uma cauda longa de projetos pequenos, e faltam estudos sobre o efeito no acesso da população.</w:t>
      </w:r>
    </w:p>
    <w:p>
      <w:pPr>
        <w:pStyle w:val="BodyText"/>
      </w:pPr>
      <w:r>
        <w:rPr>
          <w:b/>
          <w:bCs/>
        </w:rPr>
        <w:t xml:space="preserve">Evidência causal.</w:t>
      </w:r>
      <w:r>
        <w:t xml:space="preserve"> </w:t>
      </w:r>
      <w:r>
        <w:t xml:space="preserve">Não localizamos avaliação causal de incentivo cultural no Brasil; os estudos de leis estaduais via ICMS são descritivos: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Fora da cultura, Colombo e Cruz (2023) avaliam outro gasto tributário, a Lei do Bem, com pareamento e diferenças em diferenças: há efeito sobre o gasto em P&amp;D, o pessoal de pesquisa e o emprego, mas não sobre os resultados de inovação. No exterior, o análogo mais próximo em instrumento são os créditos estaduais ao audiovisual nos Estados Unidos, cujas avaliações, com adoção escalonada e variáveis instrumentais, encontram efeitos pequenos e concentrados na atividade incentivada — mais filmagens de séries, pouco ou nenhum emprego adicional — e nenhum efeito macroeconômico (THOM, 2018; BUTTON, 2019; BRADBURY, 2020). Com grandes eventos, a Capital Europeia da Cultura elevou em 4,5% o PIB per capita das regiões das cidades-sede (GOMES; LIBRERO-CANO, 2018). Entre recurso público e privado, os resultados vão de leve</w:t>
      </w:r>
      <w:r>
        <w:t xml:space="preserve"> </w:t>
      </w:r>
      <w:r>
        <w:rPr>
          <w:i/>
          <w:iCs/>
        </w:rPr>
        <w:t xml:space="preserve">crowding-in</w:t>
      </w:r>
      <w:r>
        <w:t xml:space="preserve"> </w:t>
      </w:r>
      <w:r>
        <w:t xml:space="preserve">à independência (BORGONOVI; O’HARE, 2004). Duas lições servem à LICC: em instrumentos que financiam produções dispersas, os efeitos plausíveis são proximais e pequenos; e os desenhos críveis usam como comparação candidatos não escolhidos, como as cidades candidatas à Capital Europeia da Cultura.</w:t>
      </w:r>
    </w:p>
    <w:bookmarkEnd w:id="14"/>
    <w:bookmarkStart w:id="20"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a LICC não explicita sua lógica, reconstruímos a teoria da mudança (Figura 1) pelos cinco passos do J-PAL usados na disciplina: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da agência que implementa. Na LICC, o produto</w:t>
      </w:r>
      <w:r>
        <w:t xml:space="preserve"> </w:t>
      </w:r>
      <w:r>
        <w:t xml:space="preserve">“projeto patrocinado”</w:t>
      </w:r>
      <w:r>
        <w:t xml:space="preserve"> </w:t>
      </w:r>
      <w:r>
        <w:t xml:space="preserve">depende de um terceiro ator, a empresa, que decide quem recebe. Por isso a Figura 1 separa três cadeias, como recomendam White e Raitzer (2017): a entrada (inscrição e habilitação), o financiamento (escolha da empresa e validação até o teto) e a entrega, e indica quem decide em cada elo.</w:t>
      </w:r>
    </w:p>
    <w:p>
      <w:pPr>
        <w:pStyle w:val="BodyText"/>
      </w:pPr>
      <w:r>
        <w:t xml:space="preserve">A hipótese causal, no gabarito do J-PAL,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Tratamos cinco delas como hipóteses a testar, marcadas nos elos da Figura 1 e auditadas no Quadro 2: o atrito na entrada (H3), a habilitação que qualifica sem priorizar (H2a), a escolha da empresa (H1a), o racionamento no teto (H2b) e a adicionalidade (H1b). H2 descreve o que se perde ao longo do funil; H1 e H3 são explicações concorrentes para a perda.</w:t>
      </w:r>
    </w:p>
    <w:p>
      <w:pPr>
        <w:pStyle w:val="BodyText"/>
        <w:keepNext/>
      </w:pPr>
      <w:r>
        <w:rPr>
          <w:b/>
          <w:bCs/>
        </w:rPr>
        <w:t xml:space="preserve">Figura 1 – Teoria da mudança da LICC, com as premissas testadas</w:t>
      </w:r>
    </w:p>
    <w:p>
      <w:pPr>
        <w:pStyle w:val="BodyText"/>
      </w:pPr>
      <w:r>
        <w:drawing>
          <wp:inline>
            <wp:extent cx="5334000" cy="7222066"/>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334000" cy="7222066"/>
                    </a:xfrm>
                    <a:prstGeom prst="rect">
                      <a:avLst/>
                    </a:prstGeom>
                    <a:noFill/>
                    <a:ln w="9525">
                      <a:noFill/>
                      <a:headEnd/>
                      <a:tailEnd/>
                    </a:ln>
                  </pic:spPr>
                </pic:pic>
              </a:graphicData>
            </a:graphic>
          </wp:inline>
        </w:drawing>
      </w:r>
    </w:p>
    <w:p>
      <w:pPr>
        <w:pStyle w:val="BodyText"/>
      </w:pPr>
      <w:r>
        <w:rPr>
          <w:sz w:val="20"/>
        </w:rPr>
        <w:t xml:space="preserve">Fonte: elaboração própria, no formato de cadeia de resultados do J-PAL usado por Gertler</w:t>
      </w:r>
      <w:r>
        <w:rPr>
          <w:sz w:val="20"/>
        </w:rPr>
        <w:t xml:space="preserve"> </w:t>
      </w:r>
      <w:r>
        <w:rPr>
          <w:i/>
          <w:iCs/>
          <w:sz w:val="20"/>
        </w:rPr>
        <w:t xml:space="preserve">et al.</w:t>
      </w:r>
      <w:r>
        <w:rPr>
          <w:sz w:val="20"/>
        </w:rPr>
        <w:t xml:space="preserve"> </w:t>
      </w:r>
      <w:r>
        <w:rPr>
          <w:sz w:val="20"/>
        </w:rPr>
        <w:t xml:space="preserve">(2018), com base nas normas do Quadro 1. Setas tracejadas indicam elos sem dado público.</w:t>
      </w:r>
    </w:p>
    <w:bookmarkEnd w:id="18"/>
    <w:bookmarkStart w:id="19" w:name="avaliação-do-desenho"/>
    <w:p>
      <w:pPr>
        <w:pStyle w:val="Heading2"/>
      </w:pPr>
      <w:r>
        <w:t xml:space="preserve">4.2 Avaliação do desenho</w:t>
      </w:r>
    </w:p>
    <w:p>
      <w:pPr>
        <w:pStyle w:val="FirstParagraph"/>
      </w:pPr>
      <w:r>
        <w:t xml:space="preserve">Aplicamos as perguntas de avaliação de desenho do material da disciplina: o problema está formulado? os objetivos são mensuráveis? cada elo tem premissa crível e indicador? quanto se perde ao longo da cadeia? Pelo mecanismo de mapeamento de Williams (2020), a premissa de cada elo é confrontada com o contexto real e classificada como sustentada, não atendida, contestada ou indeterminada (Quadro 2).</w:t>
      </w:r>
    </w:p>
    <w:p>
      <w:pPr>
        <w:pStyle w:val="BodyText"/>
      </w:pPr>
      <w:r>
        <w:rPr>
          <w:b/>
          <w:bCs/>
        </w:rPr>
        <w:t xml:space="preserve">Problema e objetivos.</w:t>
      </w:r>
      <w:r>
        <w:t xml:space="preserve"> </w:t>
      </w:r>
      <w:r>
        <w:t xml:space="preserve">A lei não tem artigo de objetivos. O decreto declara na ementa um objetivo de produto,</w:t>
      </w:r>
      <w:r>
        <w:t xml:space="preserve"> </w:t>
      </w:r>
      <w:r>
        <w:t xml:space="preserve">“estimular a realização de projetos culturais”</w:t>
      </w:r>
      <w:r>
        <w:t xml:space="preserve">. O art. 3º lista onze finalidades de</w:t>
      </w:r>
      <w:r>
        <w:t xml:space="preserve"> </w:t>
      </w:r>
      <w:r>
        <w:t xml:space="preserve">“interesse público”</w:t>
      </w:r>
      <w:r>
        <w:t xml:space="preserve">, das quais o projeto deve atender</w:t>
      </w:r>
      <w:r>
        <w:t xml:space="preserve"> </w:t>
      </w:r>
      <w:r>
        <w:rPr>
          <w:b/>
          <w:bCs/>
        </w:rPr>
        <w:t xml:space="preserve">uma ou mais</w:t>
      </w:r>
      <w:r>
        <w:t xml:space="preserve">. Essas finalidades definem quem é elegível, não o que a política pretende alcançar (ESPÍRITO SANTO, 2021b, art. 3º). Não há meta, magnitude esperada nem indicador. Isso falha o critério de que programas declarem os resultados e a magnitude da contribuição esperada (BARROS; LIMA, 2017) e o padrão de governança de renúncias do TCU (BRASIL, 2014).</w:t>
      </w:r>
    </w:p>
    <w:p>
      <w:pPr>
        <w:pStyle w:val="BodyText"/>
      </w:pPr>
      <w:r>
        <w:rPr>
          <w:b/>
          <w:bCs/>
        </w:rPr>
        <w:t xml:space="preserve">Funil de atrito.</w:t>
      </w:r>
      <w:r>
        <w:t xml:space="preserve"> </w:t>
      </w:r>
      <w:r>
        <w:t xml:space="preserve">O funil mede, elo a elo, quantos beneficiários potenciais chegam ao fim da cadeia (WHITE; RAITZER, 2017). A Tabela 1 mostra que ele se estreita justamente onde não há dado: antes da habilitação e depois da execução. Entre os 25.441 agentes cadastrados no Mapa Cultural e os cerca de 100 proponentes habilitados por ciclo, não se sabe quantos se inscreveram nem quantos foram inabilitados. Nas etapas observadas, a maioria passa: 68% dos habilitados de 2022-2024 com situação resolvida captaram.</w:t>
      </w:r>
    </w:p>
    <w:p>
      <w:pPr>
        <w:pStyle w:val="BodyText"/>
        <w:keepNext/>
      </w:pPr>
      <w:r>
        <w:rPr>
          <w:b/>
          <w:bCs/>
        </w:rPr>
        <w:t xml:space="preserve">Tabela 1 – Funil de atrito da LICC</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4054"/>
        <w:gridCol w:w="2545"/>
        <w:gridCol w:w="1320"/>
      </w:tblGrid>
      <w:tr>
        <w:trPr>
          <w:tblHeader w:val="on"/>
          <w:tblHeader w:val="true"/>
        </w:trPr>
        <w:tc>
          <w:tcPr/>
          <w:p>
            <w:pPr>
              <w:pStyle w:val="Compact"/>
              <w:keepNext/>
              <w:spacing w:after="0" w:before="0"/>
              <w:jc w:val="left"/>
            </w:pPr>
            <w:r>
              <w:rPr>
                <w:b/>
                <w:sz w:val="20"/>
              </w:rPr>
              <w:t xml:space="preserve">Etapa</w:t>
            </w:r>
          </w:p>
        </w:tc>
        <w:tc>
          <w:tcPr/>
          <w:p>
            <w:pPr>
              <w:pStyle w:val="Compact"/>
              <w:keepNext/>
              <w:spacing w:after="0" w:before="0"/>
              <w:jc w:val="left"/>
            </w:pPr>
            <w:r>
              <w:rPr>
                <w:b/>
                <w:sz w:val="20"/>
              </w:rPr>
              <w:t xml:space="preserve">Valor</w:t>
            </w:r>
          </w:p>
        </w:tc>
        <w:tc>
          <w:tcPr/>
          <w:p>
            <w:pPr>
              <w:pStyle w:val="Compact"/>
              <w:keepNext/>
              <w:spacing w:after="0" w:before="0"/>
              <w:jc w:val="left"/>
            </w:pPr>
            <w:r>
              <w:rPr>
                <w:b/>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Taxa de captação entre os resolvidos</w:t>
            </w:r>
          </w:p>
        </w:tc>
        <w:tc>
          <w:tcPr/>
          <w:p>
            <w:pPr>
              <w:pStyle w:val="Compact"/>
              <w:keepNext/>
              <w:spacing w:after="0" w:before="0"/>
              <w:jc w:val="left"/>
            </w:pPr>
            <w:r>
              <w:rPr>
                <w:sz w:val="20"/>
              </w:rPr>
              <w:t xml:space="preserve">84%; 70%; 55%</w:t>
            </w:r>
          </w:p>
        </w:tc>
        <w:tc>
          <w:tcPr/>
          <w:p>
            <w:pPr>
              <w:pStyle w:val="Compact"/>
              <w:keepNext/>
              <w:spacing w:after="0" w:before="0"/>
              <w:jc w:val="left"/>
            </w:pPr>
            <w:r>
              <w:rPr>
                <w:sz w:val="20"/>
              </w:rPr>
              <w:t xml:space="preserve">ciclos 2022; 2023; 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sz w:val="20"/>
        </w:rPr>
        <w:t xml:space="preserve">Fonte: elaboração própria com base em SECULT (2026b; 2026c) e na API pública do Mapa Cultural do Espírito Santo (SECULT, 2026e). Tabelas de origem:</w:t>
      </w:r>
      <w:r>
        <w:rPr>
          <w:sz w:val="20"/>
        </w:rPr>
        <w:t xml:space="preserve"> </w:t>
      </w:r>
      <w:r>
        <w:rPr>
          <w:rStyle w:val="VerbatimChar"/>
          <w:sz w:val="20"/>
        </w:rPr>
        <w:t xml:space="preserve">analise/tabelas/07_funil_por_ciclo.csv</w:t>
      </w:r>
      <w:r>
        <w:rPr>
          <w:sz w:val="20"/>
        </w:rPr>
        <w:t xml:space="preserve">,</w:t>
      </w:r>
      <w:r>
        <w:rPr>
          <w:sz w:val="20"/>
        </w:rPr>
        <w:t xml:space="preserve"> </w:t>
      </w:r>
      <w:r>
        <w:rPr>
          <w:rStyle w:val="VerbatimChar"/>
          <w:sz w:val="20"/>
        </w:rPr>
        <w:t xml:space="preserve">07_funil_captacao_anual.csv</w:t>
      </w:r>
      <w:r>
        <w:rPr>
          <w:sz w:val="20"/>
        </w:rPr>
        <w:t xml:space="preserve"> </w:t>
      </w:r>
      <w:r>
        <w:rPr>
          <w:sz w:val="20"/>
        </w:rPr>
        <w:t xml:space="preserve">e</w:t>
      </w:r>
      <w:r>
        <w:rPr>
          <w:sz w:val="20"/>
        </w:rPr>
        <w:t xml:space="preserve"> </w:t>
      </w:r>
      <w:r>
        <w:rPr>
          <w:rStyle w:val="VerbatimChar"/>
          <w:sz w:val="20"/>
        </w:rPr>
        <w:t xml:space="preserve">07_mapa_cultural_universo.csv</w:t>
      </w:r>
      <w:r>
        <w:rPr>
          <w:sz w:val="20"/>
        </w:rPr>
        <w:t xml:space="preserve">.</w:t>
      </w:r>
    </w:p>
    <w:p>
      <w:pPr>
        <w:pStyle w:val="BodyText"/>
        <w:keepNext/>
      </w:pPr>
      <w:r>
        <w:rPr>
          <w:b/>
          <w:bCs/>
        </w:rPr>
        <w:t xml:space="preserve">Quadro 2 – Auditoria das premissas da teoria da mudança</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1"/>
        <w:gridCol w:w="2329"/>
        <w:gridCol w:w="3354"/>
        <w:gridCol w:w="1304"/>
      </w:tblGrid>
      <w:tr>
        <w:trPr>
          <w:tblHeader w:val="on"/>
          <w:tblHeader w:val="true"/>
        </w:trPr>
        <w:tc>
          <w:tcPr/>
          <w:p>
            <w:pPr>
              <w:pStyle w:val="Compact"/>
              <w:spacing w:after="0" w:before="0"/>
              <w:jc w:val="left"/>
            </w:pPr>
            <w:r>
              <w:rPr>
                <w:b/>
                <w:sz w:val="20"/>
              </w:rPr>
              <w:t xml:space="preserve">Elo</w:t>
            </w:r>
          </w:p>
        </w:tc>
        <w:tc>
          <w:tcPr/>
          <w:p>
            <w:pPr>
              <w:pStyle w:val="Compact"/>
              <w:spacing w:after="0" w:before="0"/>
              <w:jc w:val="left"/>
            </w:pPr>
            <w:r>
              <w:rPr>
                <w:b/>
                <w:sz w:val="20"/>
              </w:rPr>
              <w:t xml:space="preserve">Premissa</w:t>
            </w:r>
          </w:p>
        </w:tc>
        <w:tc>
          <w:tcPr/>
          <w:p>
            <w:pPr>
              <w:pStyle w:val="Compact"/>
              <w:spacing w:after="0" w:before="0"/>
              <w:jc w:val="left"/>
            </w:pPr>
            <w:r>
              <w:rPr>
                <w:b/>
                <w:sz w:val="20"/>
              </w:rPr>
              <w:t xml:space="preserve">Contexto real</w:t>
            </w:r>
          </w:p>
        </w:tc>
        <w:tc>
          <w:tcPr/>
          <w:p>
            <w:pPr>
              <w:pStyle w:val="Compact"/>
              <w:spacing w:after="0" w:before="0"/>
              <w:jc w:val="left"/>
            </w:pPr>
            <w:r>
              <w:rPr>
                <w:b/>
                <w:sz w:val="20"/>
              </w:rPr>
              <w:t xml:space="preserve">Situação</w:t>
            </w:r>
          </w:p>
        </w:tc>
      </w:tr>
      <w:tr>
        <w:tc>
          <w:tcPr/>
          <w:p>
            <w:pPr>
              <w:pStyle w:val="Compact"/>
              <w:spacing w:after="0" w:before="0"/>
              <w:jc w:val="left"/>
            </w:pPr>
            <w:r>
              <w:rPr>
                <w:sz w:val="20"/>
              </w:rPr>
              <w:t xml:space="preserve">Entrada (H3)</w:t>
            </w:r>
          </w:p>
        </w:tc>
        <w:tc>
          <w:tcPr/>
          <w:p>
            <w:pPr>
              <w:pStyle w:val="Compact"/>
              <w:spacing w:after="0" w:before="0"/>
              <w:jc w:val="left"/>
            </w:pPr>
            <w:r>
              <w:rPr>
                <w:sz w:val="20"/>
              </w:rPr>
              <w:t xml:space="preserve">Quem tem projeto de valor público consegue se inscrever</w:t>
            </w:r>
          </w:p>
        </w:tc>
        <w:tc>
          <w:tcPr/>
          <w:p>
            <w:pPr>
              <w:pStyle w:val="Compact"/>
              <w:spacing w:after="0" w:before="0"/>
              <w:jc w:val="left"/>
            </w:pPr>
            <w:r>
              <w:rPr>
                <w:sz w:val="20"/>
              </w:rPr>
              <w:t xml:space="preserve">A inscrição exige CNPJ com finalidade cultural, sede em nome próprio e certidão estadual. 14 municípios do interior nunca tiveram projeto habilitado. Estreantes: 56 no ciclo 2024, 26 em 2025, 40 em 2026</w:t>
            </w:r>
          </w:p>
        </w:tc>
        <w:tc>
          <w:tcPr/>
          <w:p>
            <w:pPr>
              <w:pStyle w:val="Compact"/>
              <w:spacing w:after="0" w:before="0"/>
              <w:jc w:val="left"/>
            </w:pPr>
            <w:r>
              <w:rPr>
                <w:sz w:val="20"/>
              </w:rPr>
              <w:t xml:space="preserve">Indeterminado: sem inscritos</w:t>
            </w:r>
          </w:p>
        </w:tc>
      </w:tr>
      <w:tr>
        <w:tc>
          <w:tcPr/>
          <w:p>
            <w:pPr>
              <w:pStyle w:val="Compact"/>
              <w:spacing w:after="0" w:before="0"/>
              <w:jc w:val="left"/>
            </w:pPr>
            <w:r>
              <w:rPr>
                <w:sz w:val="20"/>
              </w:rPr>
              <w:t xml:space="preserve">Habilitação (H2a)</w:t>
            </w:r>
          </w:p>
        </w:tc>
        <w:tc>
          <w:tcPr/>
          <w:p>
            <w:pPr>
              <w:pStyle w:val="Compact"/>
              <w:spacing w:after="0" w:before="0"/>
              <w:jc w:val="left"/>
            </w:pPr>
            <w:r>
              <w:rPr>
                <w:sz w:val="20"/>
              </w:rPr>
              <w:t xml:space="preserve">O mérito avaliado pela SECULT orienta quem é financiado</w:t>
            </w:r>
          </w:p>
        </w:tc>
        <w:tc>
          <w:tcPr/>
          <w:p>
            <w:pPr>
              <w:pStyle w:val="Compact"/>
              <w:spacing w:after="0" w:before="0"/>
              <w:jc w:val="left"/>
            </w:pPr>
            <w:r>
              <w:rPr>
                <w:sz w:val="20"/>
              </w:rPr>
              <w:t xml:space="preserve">O parecer indica, por critério, se o projeto atende ou não, e a CAP decide só habilitar ou não, em fluxo contínuo; não há nota nem ordem de prioridade. Em 2022-2024, 95 de 293 habilitados expiraram sem captar</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Escolha (H1a)</w:t>
            </w:r>
          </w:p>
        </w:tc>
        <w:tc>
          <w:tcPr/>
          <w:p>
            <w:pPr>
              <w:pStyle w:val="Compact"/>
              <w:spacing w:after="0" w:before="0"/>
              <w:jc w:val="left"/>
            </w:pPr>
            <w:r>
              <w:rPr>
                <w:sz w:val="20"/>
              </w:rPr>
              <w:t xml:space="preserve">A empresa escolhe pelo interesse público, também fora do circuito consolidado</w:t>
            </w:r>
          </w:p>
        </w:tc>
        <w:tc>
          <w:tcPr/>
          <w:p>
            <w:pPr>
              <w:pStyle w:val="Compact"/>
              <w:spacing w:after="0" w:before="0"/>
              <w:jc w:val="left"/>
            </w:pPr>
            <w:r>
              <w:rPr>
                <w:sz w:val="20"/>
              </w:rPr>
              <w:t xml:space="preserve">Duas empresas somam metade da renúncia de 2025; energia e gás, 52%. Execução de 68% na RMGV e 63% no interior. Recorrentes captam mais (71% contra 57%)</w:t>
            </w:r>
          </w:p>
        </w:tc>
        <w:tc>
          <w:tcPr/>
          <w:p>
            <w:pPr>
              <w:pStyle w:val="Compact"/>
              <w:spacing w:after="0" w:before="0"/>
              <w:jc w:val="left"/>
            </w:pPr>
            <w:r>
              <w:rPr>
                <w:sz w:val="20"/>
              </w:rPr>
              <w:t xml:space="preserve">Contestada</w:t>
            </w:r>
          </w:p>
        </w:tc>
      </w:tr>
      <w:tr>
        <w:tc>
          <w:tcPr/>
          <w:p>
            <w:pPr>
              <w:pStyle w:val="Compact"/>
              <w:spacing w:after="0" w:before="0"/>
              <w:jc w:val="left"/>
            </w:pPr>
            <w:r>
              <w:rPr>
                <w:sz w:val="20"/>
              </w:rPr>
              <w:t xml:space="preserve">Validação (H2b)</w:t>
            </w:r>
          </w:p>
        </w:tc>
        <w:tc>
          <w:tcPr/>
          <w:p>
            <w:pPr>
              <w:pStyle w:val="Compact"/>
              <w:spacing w:after="0" w:before="0"/>
              <w:jc w:val="left"/>
            </w:pPr>
            <w:r>
              <w:rPr>
                <w:sz w:val="20"/>
              </w:rPr>
              <w:t xml:space="preserve">O racionamento no teto segue critério público</w:t>
            </w:r>
          </w:p>
        </w:tc>
        <w:tc>
          <w:tcPr/>
          <w:p>
            <w:pPr>
              <w:pStyle w:val="Compact"/>
              <w:spacing w:after="0" w:before="0"/>
              <w:jc w:val="left"/>
            </w:pPr>
            <w:r>
              <w:rPr>
                <w:sz w:val="20"/>
              </w:rPr>
              <w:t xml:space="preserve">Em 2023 e 2024, termos com patrocinador de 28% e 35% do montante foram indeferidos pela ordem de chegada</w:t>
            </w:r>
          </w:p>
        </w:tc>
        <w:tc>
          <w:tcPr/>
          <w:p>
            <w:pPr>
              <w:pStyle w:val="Compact"/>
              <w:spacing w:after="0" w:before="0"/>
              <w:jc w:val="left"/>
            </w:pPr>
            <w:r>
              <w:rPr>
                <w:sz w:val="20"/>
              </w:rPr>
              <w:t xml:space="preserve">Não atendida</w:t>
            </w:r>
          </w:p>
        </w:tc>
      </w:tr>
      <w:tr>
        <w:tc>
          <w:tcPr/>
          <w:p>
            <w:pPr>
              <w:pStyle w:val="Compact"/>
              <w:spacing w:after="0" w:before="0"/>
              <w:jc w:val="left"/>
            </w:pPr>
            <w:r>
              <w:rPr>
                <w:sz w:val="20"/>
              </w:rPr>
              <w:t xml:space="preserve">Entrega (H1b)</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Não há dado de público nem de gratuidade</w:t>
            </w:r>
          </w:p>
        </w:tc>
        <w:tc>
          <w:tcPr/>
          <w:p>
            <w:pPr>
              <w:pStyle w:val="Compact"/>
              <w:spacing w:after="0" w:before="0"/>
              <w:jc w:val="left"/>
            </w:pPr>
            <w:r>
              <w:rPr>
                <w:sz w:val="20"/>
              </w:rPr>
              <w:t xml:space="preserve">Indeterminado: sem dado</w:t>
            </w:r>
          </w:p>
        </w:tc>
      </w:tr>
    </w:tbl>
    <w:p>
      <w:pPr>
        <w:pStyle w:val="BodyText"/>
      </w:pPr>
      <w:r>
        <w:rPr>
          <w:sz w:val="20"/>
        </w:rPr>
        <w:t xml:space="preserve">Fonte: elaboração própria, no formato do mecanismo de mapeamento de Williams (2020), com base nas normas do Quadro 1, em SECULT (2026b; 2026c) e nas tabelas</w:t>
      </w:r>
      <w:r>
        <w:rPr>
          <w:sz w:val="20"/>
        </w:rPr>
        <w:t xml:space="preserve"> </w:t>
      </w:r>
      <w:r>
        <w:rPr>
          <w:rStyle w:val="VerbatimChar"/>
          <w:sz w:val="20"/>
        </w:rPr>
        <w:t xml:space="preserve">03_*.csv</w:t>
      </w:r>
      <w:r>
        <w:rPr>
          <w:sz w:val="20"/>
        </w:rPr>
        <w:t xml:space="preserve"> </w:t>
      </w:r>
      <w:r>
        <w:rPr>
          <w:sz w:val="20"/>
        </w:rPr>
        <w:t xml:space="preserve">e</w:t>
      </w:r>
      <w:r>
        <w:rPr>
          <w:sz w:val="20"/>
        </w:rPr>
        <w:t xml:space="preserve"> </w:t>
      </w:r>
      <w:r>
        <w:rPr>
          <w:rStyle w:val="VerbatimChar"/>
          <w:sz w:val="20"/>
        </w:rPr>
        <w:t xml:space="preserve">07_*.csv</w:t>
      </w:r>
      <w:r>
        <w:rPr>
          <w:sz w:val="20"/>
        </w:rPr>
        <w:t xml:space="preserve"> </w:t>
      </w:r>
      <w:r>
        <w:rPr>
          <w:sz w:val="20"/>
        </w:rPr>
        <w:t xml:space="preserve">de</w:t>
      </w:r>
      <w:r>
        <w:rPr>
          <w:sz w:val="20"/>
        </w:rPr>
        <w:t xml:space="preserve"> </w:t>
      </w:r>
      <w:r>
        <w:rPr>
          <w:rStyle w:val="VerbatimChar"/>
          <w:sz w:val="20"/>
        </w:rPr>
        <w:t xml:space="preserve">analise/tabelas/</w:t>
      </w:r>
      <w:r>
        <w:rPr>
          <w:sz w:val="20"/>
        </w:rPr>
        <w:t xml:space="preserve">.</w:t>
      </w:r>
    </w:p>
    <w:p>
      <w:pPr>
        <w:pStyle w:val="BodyText"/>
      </w:pPr>
      <w:r>
        <w:rPr>
          <w:b/>
          <w:bCs/>
        </w:rPr>
        <w:t xml:space="preserve">Entrada.</w:t>
      </w:r>
      <w:r>
        <w:t xml:space="preserve"> </w:t>
      </w:r>
      <w:r>
        <w:t xml:space="preserve">Pessoa física não se inscreve e o microempreendedor individual tem limite de valor (SECULT, 2025a, arts. 17 e 19). Em 2024 as inscrições foram fechadas no meio do ano por esgotamento do teto (SECULT, 2024b), e desde 2025 o proponente precisa conseguir o patrocinador antes da comissão. No mesmo período, a entrada de proponentes novos caiu (estreante é quem não foi habilitado nos dois ciclos anteriores). A difusão territorial parou: 39 municípios tiveram o primeiro projeto habilitado em 2022, 16 em 2023 e 3 por ciclo desde então. Nada disso isola o atrito, porque teto, janelas e regras mudaram ao mesmo tempo.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Habilitação e validação.</w:t>
      </w:r>
      <w:r>
        <w:t xml:space="preserve"> </w:t>
      </w:r>
      <w:r>
        <w:t xml:space="preserve">A análise tem três etapas: documentação, parecer técnico sobre os nove critérios do decreto e deliberação da comissão por maioria simples. O parecer</w:t>
      </w:r>
      <w:r>
        <w:t xml:space="preserve"> </w:t>
      </w:r>
      <w:r>
        <w:t xml:space="preserve">“deverá indicar a habilitação ou inabilitação”</w:t>
      </w:r>
      <w:r>
        <w:t xml:space="preserve"> </w:t>
      </w:r>
      <w:r>
        <w:t xml:space="preserve">(ESPÍRITO SANTO, 2021b, art. 14; SECULT, 2025a, arts. 37-42). A comissão se reúne semanalmente e o certificado de aptidão sai projeto a projeto (SECULT, 2023b, art. 9º; 2025a, arts. 40 e 45): os inscritos não disputam vagas entre si, e por isso não há classificação. Nenhuma norma lida prevê nota, peso, nota de corte ou ordem de prioridade, e no Mapa Cultural as fases de parecer e de comissão estão registradas como</w:t>
      </w:r>
      <w:r>
        <w:t xml:space="preserve"> </w:t>
      </w:r>
      <w:r>
        <w:t xml:space="preserve">“avaliação simplificada”</w:t>
      </w:r>
      <w:r>
        <w:t xml:space="preserve">, não como avaliação técnica (SECULT, 2026e). O modelo de parecer também não atribui nota: para cada critério, o parecerista indica se o projeto</w:t>
      </w:r>
      <w:r>
        <w:t xml:space="preserve"> </w:t>
      </w:r>
      <w:r>
        <w:t xml:space="preserve">“atende ou não”</w:t>
      </w:r>
      <w:r>
        <w:t xml:space="preserve"> </w:t>
      </w:r>
      <w:r>
        <w:t xml:space="preserve">e, ao final, sugere habilitação, inabilitação ou diligência (SECULT, 2026f). A única pontuação do processo é a dos pareceristas, no edital que os credencia. A habilitação qualifica, mas não prioriza, e autoriza mais do que o teto financia. A escolha entre projetos considerados aptos passa, assim, à empresa e à fila de validação. Com o montante esgotado de 2023 a 2025, o excesso de demanda com patrocinador foi racionado pela ordem de chegada dos termos, não por mérito (SECULT, 2026c).</w:t>
      </w:r>
    </w:p>
    <w:p>
      <w:pPr>
        <w:pStyle w:val="BodyText"/>
      </w:pPr>
      <w:r>
        <w:rPr>
          <w:b/>
          <w:bCs/>
        </w:rPr>
        <w:t xml:space="preserve">Escolha da empresa.</w:t>
      </w:r>
      <w:r>
        <w:t xml:space="preserve"> </w:t>
      </w:r>
      <w:r>
        <w:t xml:space="preserve">Com crédito integral, a empresa escolhe o destino do ICMS que pagaria e fica com a marca; como o limite por patrocinador é uma fração do ICMS recolhido (Quadro 1), as maiores contribuintes têm mais espaço para patrocinar.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Entre as companhias abertas brasileiras, a chance de patrocinar cultura cresce com o porte da empresa e com a concentração do setor (ALCÂNTARA; BENEDICTO; SILVA, 2019). Das 26 empresas que patrocinaram em 2025, 13 também aparecem como incentivadoras da Lei Rouanet, e elas responderam por 86% da renúncia daquele ano (BRASIL, 2026b). A evidência sobre o destino é mista. Quando a busca de patrocinador passou para antes da comissão, a parcela da RMGV no valor habilitado atribuível a um município caiu de 74% (ciclo 2024) para 57% (2025). Projetos que pediram exatamente o teto de R$ 500 mil foram executados com mais frequência que os menores. Esses fatos têm explicações que não dependem da marca: quem já tem patrocinador acertado pede o teto, e quem já captou tem rede e experiência. Daí a premissa ficar contestada.</w:t>
      </w:r>
    </w:p>
    <w:p>
      <w:pPr>
        <w:pStyle w:val="BodyText"/>
      </w:pPr>
      <w:r>
        <w:rPr>
          <w:b/>
          <w:bCs/>
        </w:rPr>
        <w:t xml:space="preserve">Entrega e território.</w:t>
      </w:r>
      <w:r>
        <w:t xml:space="preserve"> </w:t>
      </w:r>
      <w:r>
        <w:t xml:space="preserve">A maior reserva do teto, 30%, vai a eventos com mais de dez anos de existência, justamente os de maior chance de financiamento sem incentivo. É uma tensão com o critério do TCU (BRASIL, 2016) que fica como hipótese a testar, não como descumprimento apurado. A RMGV tem 49% da população e fica com 67% do valor atribuível a um município. O Gini do valor entre os 78 municípios é 0,88, e a diferença entre RMGV e interior explica só 7% da desigualdade na decomposição de Theil. Por isso a reserva de 10% para projetos fora da RMGV age sobre a menor parte dela.</w:t>
      </w:r>
    </w:p>
    <w:p>
      <w:pPr>
        <w:pStyle w:val="BodyText"/>
      </w:pPr>
      <w:r>
        <w:rPr>
          <w:b/>
          <w:bCs/>
        </w:rPr>
        <w:t xml:space="preserve">Monitoramento.</w:t>
      </w:r>
      <w:r>
        <w:t xml:space="preserve"> </w:t>
      </w:r>
      <w:r>
        <w:t xml:space="preserve">O que a SECULT publica cobre insumos e produtos, mas não a entrada (inscritos e inabilitados) nem o resultado (público, gratuidade, contrapartidas executadas). Os dois indicadores que a teoria da mudança mais exige falham no critério SMART de ser mensurável e atribuível. A lei já manda o regulamento definir a divulgação dos benefícios,</w:t>
      </w:r>
      <w:r>
        <w:t xml:space="preserve"> </w:t>
      </w:r>
      <w:r>
        <w:t xml:space="preserve">“inclusive no Portal da Transparência do Estado”</w:t>
      </w:r>
      <w:r>
        <w:t xml:space="preserve"> </w:t>
      </w:r>
      <w:r>
        <w:t xml:space="preserve">(ESPÍRITO SANTO, 2021a).</w:t>
      </w:r>
    </w:p>
    <w:p>
      <w:pPr>
        <w:pStyle w:val="BodyText"/>
      </w:pPr>
      <w:r>
        <w:t xml:space="preserve">Em síntese, com o dado público nenhum elo aparece claramente rompido. Duas premissas de critério não são atendidas pelo desenho: habilitar sem priorizar e racionar pela ordem de chegada. A escolha da empresa é contestada, e a entrada e a entrega ficam indeterminadas por falta de dado. A avaliação de impacto da seção 5 é desenhada para resolver as três últimas.</w:t>
      </w:r>
    </w:p>
    <w:bookmarkEnd w:id="19"/>
    <w:bookmarkEnd w:id="20"/>
    <w:bookmarkStart w:id="26" w:name="proposta-de-avaliação-de-impacto"/>
    <w:p>
      <w:pPr>
        <w:pStyle w:val="Heading1"/>
      </w:pPr>
      <w:r>
        <w:t xml:space="preserve">5 Proposta de avaliação de impacto</w:t>
      </w:r>
    </w:p>
    <w:bookmarkStart w:id="21" w:name="perguntas-e-parâmetros"/>
    <w:p>
      <w:pPr>
        <w:pStyle w:val="Heading2"/>
      </w:pPr>
      <w:r>
        <w:t xml:space="preserve">5.1 Perguntas e parâmetros</w:t>
      </w:r>
    </w:p>
    <w:p>
      <w:pPr>
        <w:pStyle w:val="FirstParagraph"/>
      </w:pPr>
      <w:r>
        <w:t xml:space="preserve">Como no material do J-PAL, as premissas do Quadro 2 viram perguntas de pesquisa: três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é igual ao efeito médio mais um viés de seleção e um viés de efeitos heterogêneos.</w:t>
      </w:r>
    </w:p>
    <w:p>
      <w:pPr>
        <w:pStyle w:val="BodyText"/>
        <w:keepNext/>
      </w:pPr>
      <w:r>
        <w:rPr>
          <w:b/>
          <w:bCs/>
        </w:rPr>
        <w:t xml:space="preserve">Quadro 3 – Perguntas de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1760"/>
        <w:gridCol w:w="1760"/>
        <w:gridCol w:w="1430"/>
        <w:gridCol w:w="1980"/>
      </w:tblGrid>
      <w:tr>
        <w:trPr>
          <w:tblHeader w:val="on"/>
          <w:tblHeader w:val="true"/>
        </w:trPr>
        <w:tc>
          <w:tcPr/>
          <w:p>
            <w:pPr>
              <w:pStyle w:val="Compact"/>
              <w:spacing w:after="0" w:before="0"/>
              <w:jc w:val="left"/>
            </w:pPr>
            <w:r>
              <w:rPr>
                <w:b/>
                <w:sz w:val="20"/>
              </w:rPr>
              <w:t xml:space="preserve">Hipótese</w:t>
            </w:r>
          </w:p>
        </w:tc>
        <w:tc>
          <w:tcPr/>
          <w:p>
            <w:pPr>
              <w:pStyle w:val="Compact"/>
              <w:spacing w:after="0" w:before="0"/>
              <w:jc w:val="left"/>
            </w:pPr>
            <w:r>
              <w:rPr>
                <w:b/>
                <w:sz w:val="20"/>
              </w:rPr>
              <w:t xml:space="preserve">Pergunta</w:t>
            </w:r>
          </w:p>
        </w:tc>
        <w:tc>
          <w:tcPr/>
          <w:p>
            <w:pPr>
              <w:pStyle w:val="Compact"/>
              <w:spacing w:after="0" w:before="0"/>
              <w:jc w:val="left"/>
            </w:pPr>
            <w:r>
              <w:rPr>
                <w:b/>
                <w:sz w:val="20"/>
              </w:rPr>
              <w:t xml:space="preserve">Unidade, tratamento e resultado</w:t>
            </w:r>
          </w:p>
        </w:tc>
        <w:tc>
          <w:tcPr/>
          <w:p>
            <w:pPr>
              <w:pStyle w:val="Compact"/>
              <w:spacing w:after="0" w:before="0"/>
              <w:jc w:val="left"/>
            </w:pPr>
            <w:r>
              <w:rPr>
                <w:b/>
                <w:sz w:val="20"/>
              </w:rPr>
              <w:t xml:space="preserve">Parâmetro</w:t>
            </w:r>
          </w:p>
        </w:tc>
        <w:tc>
          <w:tcPr/>
          <w:p>
            <w:pPr>
              <w:pStyle w:val="Compact"/>
              <w:spacing w:after="0" w:before="0"/>
              <w:jc w:val="left"/>
            </w:pPr>
            <w:r>
              <w:rPr>
                <w:b/>
                <w:sz w:val="20"/>
              </w:rPr>
              <w:t xml:space="preserve">Viés da comparação simples</w:t>
            </w:r>
          </w:p>
        </w:tc>
      </w:tr>
      <w:tr>
        <w:tc>
          <w:tcPr/>
          <w:p>
            <w:pPr>
              <w:pStyle w:val="Compact"/>
              <w:spacing w:after="0" w:before="0"/>
              <w:jc w:val="left"/>
            </w:pPr>
            <w:r>
              <w:rPr>
                <w:sz w:val="20"/>
              </w:rPr>
              <w:t xml:space="preserve">H1b</w:t>
            </w:r>
          </w:p>
        </w:tc>
        <w:tc>
          <w:tcPr/>
          <w:p>
            <w:pPr>
              <w:pStyle w:val="Compact"/>
              <w:spacing w:after="0" w:before="0"/>
              <w:jc w:val="left"/>
            </w:pPr>
            <w:r>
              <w:rPr>
                <w:sz w:val="20"/>
              </w:rPr>
              <w:t xml:space="preserve">Qual é o efeito de captar pela LICC sobre a realização e o alcance do projeto?</w:t>
            </w:r>
          </w:p>
        </w:tc>
        <w:tc>
          <w:tcPr/>
          <w:p>
            <w:pPr>
              <w:pStyle w:val="Compact"/>
              <w:spacing w:after="0" w:before="0"/>
              <w:jc w:val="left"/>
            </w:pPr>
            <w:r>
              <w:rPr>
                <w:sz w:val="20"/>
              </w:rPr>
              <w:t xml:space="preserve">Projeto habilitado;</w:t>
            </w:r>
            <w:r>
              <w:rPr>
                <w:sz w:val="20"/>
              </w:rPr>
              <w:t xml:space="preserve"> </w:t>
            </w:r>
            <w:r>
              <w:rPr>
                <w:i/>
                <w:iCs/>
                <w:sz w:val="20"/>
              </w:rPr>
              <w:t xml:space="preserve">T</w:t>
            </w:r>
            <w:r>
              <w:rPr>
                <w:sz w:val="20"/>
              </w:rPr>
              <w:t xml:space="preserve"> </w:t>
            </w:r>
            <w:r>
              <w:rPr>
                <w:sz w:val="20"/>
              </w:rPr>
              <w:t xml:space="preserve">= captou;</w:t>
            </w:r>
            <w:r>
              <w:rPr>
                <w:sz w:val="20"/>
              </w:rPr>
              <w:t xml:space="preserve"> </w:t>
            </w:r>
            <w:r>
              <w:rPr>
                <w:i/>
                <w:iCs/>
                <w:sz w:val="20"/>
              </w:rPr>
              <w:t xml:space="preserve">Y</w:t>
            </w:r>
            <w:r>
              <w:rPr>
                <w:sz w:val="20"/>
              </w:rPr>
              <w:t xml:space="preserve"> </w:t>
            </w:r>
            <w:r>
              <w:rPr>
                <w:sz w:val="20"/>
              </w:rPr>
              <w:t xml:space="preserve">= o bem cultural acontece; público e gratuidade</w:t>
            </w:r>
          </w:p>
        </w:tc>
        <w:tc>
          <w:tcPr/>
          <w:p>
            <w:pPr>
              <w:pStyle w:val="Compact"/>
              <w:spacing w:after="0" w:before="0"/>
              <w:jc w:val="left"/>
            </w:pPr>
            <w:r>
              <w:rPr>
                <w:sz w:val="20"/>
              </w:rPr>
              <w:t xml:space="preserve">Efeito médio sobre os tratados (EMPT) e seu contraste com o efeito sobre os não tratados (EMPNT)</w:t>
            </w:r>
          </w:p>
        </w:tc>
        <w:tc>
          <w:tcPr/>
          <w:p>
            <w:pPr>
              <w:pStyle w:val="Compact"/>
              <w:spacing w:after="0" w:before="0"/>
              <w:jc w:val="left"/>
            </w:pPr>
            <w:r>
              <w:rPr>
                <w:sz w:val="20"/>
              </w:rPr>
              <w:t xml:space="preserve">Se a empresa escolhe eventos consolidados,</w:t>
            </w:r>
            <w:r>
              <w:rPr>
                <w:sz w:val="20"/>
              </w:rPr>
              <w:t xml:space="preserve"> </w:t>
            </w:r>
            <w:r>
              <w:rPr>
                <w:i/>
                <w:iCs/>
                <w:sz w:val="20"/>
              </w:rPr>
              <w:t xml:space="preserve">Y</w:t>
            </w:r>
            <w:r>
              <w:rPr>
                <w:sz w:val="20"/>
              </w:rPr>
              <w:t xml:space="preserve">(0) é maior entre os escolhidos e o efeito é menor onde ela escolhe: os dois vieses subestimam a adicionalidade</w:t>
            </w:r>
          </w:p>
        </w:tc>
      </w:tr>
      <w:tr>
        <w:tc>
          <w:tcPr/>
          <w:p>
            <w:pPr>
              <w:pStyle w:val="Compact"/>
              <w:spacing w:after="0" w:before="0"/>
              <w:jc w:val="left"/>
            </w:pPr>
            <w:r>
              <w:rPr>
                <w:sz w:val="20"/>
              </w:rPr>
              <w:t xml:space="preserve">H3</w:t>
            </w:r>
          </w:p>
        </w:tc>
        <w:tc>
          <w:tcPr/>
          <w:p>
            <w:pPr>
              <w:pStyle w:val="Compact"/>
              <w:spacing w:after="0" w:before="0"/>
              <w:jc w:val="left"/>
            </w:pPr>
            <w:r>
              <w:rPr>
                <w:sz w:val="20"/>
              </w:rPr>
              <w:t xml:space="preserve">Qual é o efeito de reduzir o custo de entrada sobre a inscrição, a habilitação e o perfil de quem entra?</w:t>
            </w:r>
          </w:p>
        </w:tc>
        <w:tc>
          <w:tcPr/>
          <w:p>
            <w:pPr>
              <w:pStyle w:val="Compact"/>
              <w:spacing w:after="0" w:before="0"/>
              <w:jc w:val="left"/>
            </w:pPr>
            <w:r>
              <w:rPr>
                <w:sz w:val="20"/>
              </w:rPr>
              <w:t xml:space="preserve">Agente cultural sem inscrição prévia;</w:t>
            </w:r>
            <w:r>
              <w:rPr>
                <w:sz w:val="20"/>
              </w:rPr>
              <w:t xml:space="preserve"> </w:t>
            </w:r>
            <w:r>
              <w:rPr>
                <w:i/>
                <w:iCs/>
                <w:sz w:val="20"/>
              </w:rPr>
              <w:t xml:space="preserve">T</w:t>
            </w:r>
            <w:r>
              <w:rPr>
                <w:sz w:val="20"/>
              </w:rPr>
              <w:t xml:space="preserve"> </w:t>
            </w:r>
            <w:r>
              <w:rPr>
                <w:sz w:val="20"/>
              </w:rPr>
              <w:t xml:space="preserve">= oferta de apoio à inscrição;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H2a</w:t>
            </w:r>
          </w:p>
        </w:tc>
        <w:tc>
          <w:tcPr/>
          <w:p>
            <w:pPr>
              <w:pStyle w:val="Compact"/>
              <w:spacing w:after="0" w:before="0"/>
              <w:jc w:val="left"/>
            </w:pPr>
            <w:r>
              <w:rPr>
                <w:sz w:val="20"/>
              </w:rPr>
              <w:t xml:space="preserve">A habilitação muda o destino do projeto, e a empresa segue o mérito avaliado pela SECULT?</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habilitado;</w:t>
            </w:r>
            <w:r>
              <w:rPr>
                <w:sz w:val="20"/>
              </w:rPr>
              <w:t xml:space="preserve"> </w:t>
            </w:r>
            <w:r>
              <w:rPr>
                <w:i/>
                <w:iCs/>
                <w:sz w:val="20"/>
              </w:rPr>
              <w:t xml:space="preserve">Y</w:t>
            </w:r>
            <w:r>
              <w:rPr>
                <w:sz w:val="20"/>
              </w:rPr>
              <w:t xml:space="preserve"> </w:t>
            </w:r>
            <w:r>
              <w:rPr>
                <w:sz w:val="20"/>
              </w:rPr>
              <w:t xml:space="preserve">= o projeto é executado</w:t>
            </w:r>
          </w:p>
        </w:tc>
        <w:tc>
          <w:tcPr/>
          <w:p>
            <w:pPr>
              <w:pStyle w:val="Compact"/>
              <w:spacing w:after="0" w:before="0"/>
              <w:jc w:val="left"/>
            </w:pPr>
            <w:r>
              <w:rPr>
                <w:sz w:val="20"/>
              </w:rPr>
              <w:t xml:space="preserve">Efeito de ser habilitado (oferta) na margem da decisão</w:t>
            </w:r>
          </w:p>
        </w:tc>
        <w:tc>
          <w:tcPr/>
          <w:p>
            <w:pPr>
              <w:pStyle w:val="Compact"/>
              <w:spacing w:after="0" w:before="0"/>
              <w:jc w:val="left"/>
            </w:pPr>
            <w:r>
              <w:rPr>
                <w:sz w:val="20"/>
              </w:rPr>
              <w:t xml:space="preserve">Inabilitados diferem dos habilitados em qualidade e capacidade</w:t>
            </w:r>
          </w:p>
        </w:tc>
      </w:tr>
    </w:tbl>
    <w:p>
      <w:pPr>
        <w:pStyle w:val="BodyText"/>
      </w:pPr>
      <w:r>
        <w:rPr>
          <w:sz w:val="20"/>
        </w:rPr>
        <w:t xml:space="preserve">Fonte: elaboração própria, com base em Gertler</w:t>
      </w:r>
      <w:r>
        <w:rPr>
          <w:sz w:val="20"/>
        </w:rPr>
        <w:t xml:space="preserve"> </w:t>
      </w:r>
      <w:r>
        <w:rPr>
          <w:i/>
          <w:iCs/>
          <w:sz w:val="20"/>
        </w:rPr>
        <w:t xml:space="preserve">et al.</w:t>
      </w:r>
      <w:r>
        <w:rPr>
          <w:sz w:val="20"/>
        </w:rPr>
        <w:t xml:space="preserve"> </w:t>
      </w:r>
      <w:r>
        <w:rPr>
          <w:sz w:val="20"/>
        </w:rPr>
        <w:t xml:space="preserve">(2018) e no material da disciplina sobre resultados potenciais.</w:t>
      </w:r>
    </w:p>
    <w:p>
      <w:pPr>
        <w:pStyle w:val="BodyText"/>
      </w:pPr>
      <w:r>
        <w:t xml:space="preserve">O EMPT é o parâmetro indicado porque a participação é voluntária, do proponente e da empresa.</w:t>
      </w:r>
    </w:p>
    <w:bookmarkEnd w:id="21"/>
    <w:bookmarkStart w:id="22"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sorteio, promoção aleatória, diferenças em diferenças e diferenças em diferenças com pareamento. A escolha depende dos dados que a SECULT liberar (seção 5.3).</w:t>
      </w:r>
    </w:p>
    <w:p>
      <w:pPr>
        <w:pStyle w:val="Compact"/>
        <w:numPr>
          <w:ilvl w:val="0"/>
          <w:numId w:val="1001"/>
        </w:numPr>
      </w:pPr>
      <w:r>
        <w:rPr>
          <w:b/>
          <w:bCs/>
        </w:rPr>
        <w:t xml:space="preserve">H1b.</w:t>
      </w:r>
      <w:r>
        <w:t xml:space="preserve"> </w:t>
      </w:r>
      <w:r>
        <w:t xml:space="preserve">Em 2023 e 2024, os termos validados pouco antes do esgotamento do teto e os indeferidos logo depois tinham, todos, patrocinador disposto. Se a ordem de chegada não depender das características do projeto, o que se testa pelo balanço dos observáveis, a comparação é quase experimental. Os 95 habilitados que expiraram sem captar, comparados aos que captaram com diferenças em diferenças e pareamento dentro do ciclo (o desenho de Colombo e Cruz, 2023), delimitam o efeito sem afastar a seleção. O SALIC mostra se as mesmas empresas deixaram de patrocinar pela Rouanet ao entrar na LICC (substituição).</w:t>
      </w:r>
    </w:p>
    <w:p>
      <w:pPr>
        <w:pStyle w:val="Compact"/>
        <w:numPr>
          <w:ilvl w:val="0"/>
          <w:numId w:val="1001"/>
        </w:numPr>
      </w:pPr>
      <w:r>
        <w:rPr>
          <w:b/>
          <w:bCs/>
        </w:rPr>
        <w:t xml:space="preserve">H3.</w:t>
      </w:r>
      <w:r>
        <w:t xml:space="preserve"> </w:t>
      </w:r>
      <w:r>
        <w:t xml:space="preserve">Uma promoção aleatória de apoio à inscrição (informação, orientação sobre CNPJ e documentação) sorteada entre municípios do interior não altera nenhuma regra de alocação. Ela estima o efeito da oferta e, para quem responde a ela, o efeito local (ANGRIST; IMBENS; RUBIN, 1996). Como o teto é fixo, novos entrantes deslocam outros, e sortear também a intensidade da oferta entre municípios mede esse deslocamento (BAIRD</w:t>
      </w:r>
      <w:r>
        <w:t xml:space="preserve"> </w:t>
      </w:r>
      <w:r>
        <w:rPr>
          <w:i/>
          <w:iCs/>
        </w:rPr>
        <w:t xml:space="preserve">et al.</w:t>
      </w:r>
      <w:r>
        <w:t xml:space="preserve">, 2018).</w:t>
      </w:r>
    </w:p>
    <w:p>
      <w:pPr>
        <w:pStyle w:val="Compact"/>
        <w:numPr>
          <w:ilvl w:val="0"/>
          <w:numId w:val="1001"/>
        </w:numPr>
      </w:pPr>
      <w:r>
        <w:rPr>
          <w:b/>
          <w:bCs/>
        </w:rPr>
        <w:t xml:space="preserve">H2a.</w:t>
      </w:r>
      <w:r>
        <w:t xml:space="preserve"> </w:t>
      </w:r>
      <w:r>
        <w:t xml:space="preserve">Como o parecer não atribui nota, não há ponto de corte para regressão descontínua. A pergunta fica descritiva: se a captação se associa ao que o parecer registrou (critérios atendidos, diligências), com os pareceres obtidos por LAI.</w:t>
      </w:r>
    </w:p>
    <w:bookmarkEnd w:id="22"/>
    <w:bookmarkStart w:id="23" w:name="desenho-da-amostra-e-fontes-de-dados"/>
    <w:p>
      <w:pPr>
        <w:pStyle w:val="Heading2"/>
      </w:pPr>
      <w:r>
        <w:t xml:space="preserve">5.3 Desenho da amostra e fontes de dados</w:t>
      </w:r>
    </w:p>
    <w:p>
      <w:pPr>
        <w:pStyle w:val="FirstParagraph"/>
      </w:pPr>
      <w:r>
        <w:t xml:space="preserve">Para H1b e H2a trabalha-se com o universo, e a listagem vem dos anexos oficiais. São 293 projetos habilitados em 2022-2024 com situação resolvida, de 172 proponentes, e os termos de 2023 e 2024 na margem do racionamento. Para H3, a listagem é o cadastro de agentes do Mapa Cultural, restrito aos que têm CNPJ e nunca se inscreveram. A amostra é por conglomerados: os municípios do interior são sorteados para receber a oferta, e dentro deles entram todos os agentes elegíveis. A listagem deixa de fora quem não está cadastrado, o que limita a validade externa (viés de cobertura). O gargalo comum é a chave: os anexos não trazem o CNPJ do proponente, mas a SECULT o tem, porque a inscrição o exige. O Quadro 4 lista as fontes.</w:t>
      </w:r>
    </w:p>
    <w:p>
      <w:pPr>
        <w:pStyle w:val="BodyText"/>
        <w:keepNext/>
      </w:pPr>
      <w:r>
        <w:rPr>
          <w:b/>
          <w:bCs/>
        </w:rPr>
        <w:t xml:space="preserve">Quadro 4 – Fontes de dados da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754"/>
        <w:gridCol w:w="1951"/>
        <w:gridCol w:w="1377"/>
      </w:tblGrid>
      <w:tr>
        <w:trPr>
          <w:tblHeader w:val="on"/>
          <w:tblHeader w:val="true"/>
        </w:trPr>
        <w:tc>
          <w:tcPr/>
          <w:p>
            <w:pPr>
              <w:pStyle w:val="Compact"/>
              <w:spacing w:after="0" w:before="0"/>
              <w:jc w:val="left"/>
            </w:pPr>
            <w:r>
              <w:rPr>
                <w:b/>
                <w:sz w:val="20"/>
              </w:rPr>
              <w:t xml:space="preserve">Fonte</w:t>
            </w:r>
          </w:p>
        </w:tc>
        <w:tc>
          <w:tcPr/>
          <w:p>
            <w:pPr>
              <w:pStyle w:val="Compact"/>
              <w:spacing w:after="0" w:before="0"/>
              <w:jc w:val="left"/>
            </w:pPr>
            <w:r>
              <w:rPr>
                <w:b/>
                <w:sz w:val="20"/>
              </w:rPr>
              <w:t xml:space="preserve">Conteúdo</w:t>
            </w:r>
          </w:p>
        </w:tc>
        <w:tc>
          <w:tcPr/>
          <w:p>
            <w:pPr>
              <w:pStyle w:val="Compact"/>
              <w:spacing w:after="0" w:before="0"/>
              <w:jc w:val="left"/>
            </w:pPr>
            <w:r>
              <w:rPr>
                <w:b/>
                <w:sz w:val="20"/>
              </w:rPr>
              <w:t xml:space="preserve">Uso</w:t>
            </w:r>
          </w:p>
        </w:tc>
        <w:tc>
          <w:tcPr/>
          <w:p>
            <w:pPr>
              <w:pStyle w:val="Compact"/>
              <w:spacing w:after="0" w:before="0"/>
              <w:jc w:val="left"/>
            </w:pPr>
            <w:r>
              <w:rPr>
                <w:b/>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motivo, parecer, CNPJ, sede e datas</w:t>
            </w:r>
          </w:p>
        </w:tc>
        <w:tc>
          <w:tcPr/>
          <w:p>
            <w:pPr>
              <w:pStyle w:val="Compact"/>
              <w:spacing w:after="0" w:before="0"/>
              <w:jc w:val="left"/>
            </w:pPr>
            <w:r>
              <w:rPr>
                <w:sz w:val="20"/>
              </w:rPr>
              <w:t xml:space="preserve">H2a, H3;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extratos do Diário Oficial</w:t>
            </w:r>
          </w:p>
        </w:tc>
        <w:tc>
          <w:tcPr/>
          <w:p>
            <w:pPr>
              <w:pStyle w:val="Compact"/>
              <w:spacing w:after="0" w:before="0"/>
              <w:jc w:val="left"/>
            </w:pPr>
            <w:r>
              <w:rPr>
                <w:sz w:val="20"/>
              </w:rPr>
              <w:t xml:space="preserve">Status, valores, patrocinador e data de cada repasse</w:t>
            </w:r>
          </w:p>
        </w:tc>
        <w:tc>
          <w:tcPr/>
          <w:p>
            <w:pPr>
              <w:pStyle w:val="Compact"/>
              <w:spacing w:after="0" w:before="0"/>
              <w:jc w:val="left"/>
            </w:pPr>
            <w:r>
              <w:rPr>
                <w:sz w:val="20"/>
              </w:rPr>
              <w:t xml:space="preserve">H1b; tratamento e intensidade</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Data e ordem de validação dos termos, inclusive indeferidos</w:t>
            </w:r>
          </w:p>
        </w:tc>
        <w:tc>
          <w:tcPr/>
          <w:p>
            <w:pPr>
              <w:pStyle w:val="Compact"/>
              <w:spacing w:after="0" w:before="0"/>
              <w:jc w:val="left"/>
            </w:pPr>
            <w:r>
              <w:rPr>
                <w:sz w:val="20"/>
              </w:rPr>
              <w:t xml:space="preserve">H1b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Público,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H3; ocorrência de eventos (</w:t>
            </w: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SALIC (Ministério da Cultura)</w:t>
            </w:r>
          </w:p>
        </w:tc>
        <w:tc>
          <w:tcPr/>
          <w:p>
            <w:pPr>
              <w:pStyle w:val="Compact"/>
              <w:spacing w:after="0" w:before="0"/>
              <w:jc w:val="left"/>
            </w:pPr>
            <w:r>
              <w:rPr>
                <w:sz w:val="20"/>
              </w:rPr>
              <w:t xml:space="preserve">Projetos e doações pela Rouanet, por CNPJ</w:t>
            </w:r>
          </w:p>
        </w:tc>
        <w:tc>
          <w:tcPr/>
          <w:p>
            <w:pPr>
              <w:pStyle w:val="Compact"/>
              <w:spacing w:after="0" w:before="0"/>
              <w:jc w:val="left"/>
            </w:pPr>
            <w:r>
              <w:rPr>
                <w:sz w:val="20"/>
              </w:rPr>
              <w:t xml:space="preserve">Substituição de fonte (H1b)</w:t>
            </w:r>
          </w:p>
        </w:tc>
        <w:tc>
          <w:tcPr/>
          <w:p>
            <w:pPr>
              <w:pStyle w:val="Compact"/>
              <w:spacing w:after="0" w:before="0"/>
              <w:jc w:val="left"/>
            </w:pPr>
            <w:r>
              <w:rPr>
                <w:sz w:val="20"/>
              </w:rPr>
              <w:t xml:space="preserve">Público</w:t>
            </w:r>
          </w:p>
        </w:tc>
      </w:tr>
    </w:tbl>
    <w:p>
      <w:pPr>
        <w:pStyle w:val="BodyText"/>
      </w:pPr>
      <w:r>
        <w:rPr>
          <w:sz w:val="20"/>
        </w:rPr>
        <w:t xml:space="preserve">Fonte: elaboração própria.</w:t>
      </w:r>
    </w:p>
    <w:bookmarkEnd w:id="23"/>
    <w:bookmarkStart w:id="24"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o material da disciplina (DJIMEU;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quando as unidades vêm em grupos (projetos de um mesmo proponente, agentes de um mesmo município),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 Com conglomerados sorteados, usa-se a forma equivalente por número de conglomerados. A Tabela 2 reporta os cenários.</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 com os dados pedidos.</w:t>
      </w:r>
    </w:p>
    <w:p>
      <w:pPr>
        <w:pStyle w:val="BodyText"/>
        <w:keepNext/>
      </w:pPr>
      <w:r>
        <w:rPr>
          <w:b/>
          <w:bCs/>
        </w:rPr>
        <w:t xml:space="preserve">Tabela 2 – Efeito mínimo detectável por pergunta (pontos percentuais)</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3615"/>
        <w:gridCol w:w="1807"/>
        <w:gridCol w:w="1721"/>
        <w:gridCol w:w="774"/>
      </w:tblGrid>
      <w:tr>
        <w:trPr>
          <w:tblHeader w:val="on"/>
          <w:tblHeader w:val="true"/>
        </w:trPr>
        <w:tc>
          <w:tcPr/>
          <w:p>
            <w:pPr>
              <w:pStyle w:val="Compact"/>
              <w:keepNext/>
              <w:spacing w:after="0" w:before="0"/>
              <w:jc w:val="left"/>
            </w:pPr>
            <w:r>
              <w:rPr>
                <w:b/>
                <w:sz w:val="20"/>
              </w:rPr>
              <w:t xml:space="preserve">Pergunta e comparação</w:t>
            </w:r>
          </w:p>
        </w:tc>
        <w:tc>
          <w:tcPr/>
          <w:p>
            <w:pPr>
              <w:pStyle w:val="Compact"/>
              <w:keepNext/>
              <w:spacing w:after="0" w:before="0"/>
              <w:jc w:val="left"/>
            </w:pPr>
            <w:r>
              <w:rPr>
                <w:b/>
                <w:sz w:val="20"/>
              </w:rPr>
              <w:t xml:space="preserve">Unidades</w:t>
            </w:r>
          </w:p>
        </w:tc>
        <w:tc>
          <w:tcPr/>
          <w:p>
            <w:pPr>
              <w:pStyle w:val="Compact"/>
              <w:keepNext/>
              <w:spacing w:after="0" w:before="0"/>
              <w:jc w:val="left"/>
            </w:pPr>
            <w:r>
              <w:rPr>
                <w:b/>
                <w:sz w:val="20"/>
              </w:rPr>
              <w:t xml:space="preserve">Cenários</w:t>
            </w:r>
          </w:p>
        </w:tc>
        <w:tc>
          <w:tcPr/>
          <w:p>
            <w:pPr>
              <w:pStyle w:val="Compact"/>
              <w:keepNext/>
              <w:spacing w:after="0" w:before="0"/>
              <w:jc w:val="left"/>
            </w:pPr>
            <w:r>
              <w:rPr>
                <w:b/>
                <w:sz w:val="20"/>
              </w:rPr>
              <w:t xml:space="preserve">EMD</w:t>
            </w:r>
          </w:p>
        </w:tc>
      </w:tr>
      <w:tr>
        <w:tc>
          <w:tcPr/>
          <w:p>
            <w:pPr>
              <w:pStyle w:val="Compact"/>
              <w:keepNext/>
              <w:spacing w:after="0" w:before="0"/>
              <w:jc w:val="left"/>
            </w:pPr>
            <w:r>
              <w:rPr>
                <w:sz w:val="20"/>
              </w:rPr>
              <w:t xml:space="preserve">H1b: captou × expirou, 2022-2024</w:t>
            </w:r>
          </w:p>
        </w:tc>
        <w:tc>
          <w:tcPr/>
          <w:p>
            <w:pPr>
              <w:pStyle w:val="Compact"/>
              <w:keepNext/>
              <w:spacing w:after="0" w:before="0"/>
              <w:jc w:val="left"/>
            </w:pPr>
            <w:r>
              <w:rPr>
                <w:sz w:val="20"/>
              </w:rPr>
              <w:t xml:space="preserve">293 projetos (</w:t>
            </w:r>
            <w:r>
              <w:rPr>
                <w:i/>
                <w:iCs/>
                <w:sz w:val="20"/>
              </w:rPr>
              <w:t xml:space="preserve">T</w:t>
            </w:r>
            <w:r>
              <w:rPr>
                <w:sz w:val="20"/>
              </w:rPr>
              <w:t xml:space="preserve"> </w:t>
            </w:r>
            <w:r>
              <w:rPr>
                <w:sz w:val="20"/>
              </w:rPr>
              <w:t xml:space="preserve">= 0,68), 172 proponentes (</w:t>
            </w:r>
            <m:oMath>
              <m:acc>
                <m:accPr>
                  <m:chr m:val="‾"/>
                </m:accPr>
                <m:e>
                  <m:r>
                    <m:t>m</m:t>
                  </m:r>
                </m:e>
              </m:acc>
            </m:oMath>
            <w:r>
              <w:rPr>
                <w:sz w:val="20"/>
              </w:rPr>
              <w:t xml:space="preserve"> </w:t>
            </w:r>
            <w:r>
              <w:rPr>
                <w:sz w:val="20"/>
              </w:rPr>
              <w:t xml:space="preserve">= 1,70;</w:t>
            </w:r>
            <w:r>
              <w:rPr>
                <w:sz w:val="20"/>
              </w:rPr>
              <w:t xml:space="preserve"> </w:t>
            </w:r>
            <w:r>
              <w:rPr>
                <w:i/>
                <w:iCs/>
                <w:sz w:val="20"/>
              </w:rPr>
              <w:t xml:space="preserve">cv</w:t>
            </w:r>
            <w:r>
              <w:rPr>
                <w:sz w:val="20"/>
              </w:rPr>
              <w:t xml:space="preserve"> </w:t>
            </w:r>
            <w:r>
              <w:rPr>
                <w:sz w:val="20"/>
              </w:rPr>
              <w:t xml:space="preserve">= 0,75)</w:t>
            </w:r>
          </w:p>
        </w:tc>
        <w:tc>
          <w:tcPr/>
          <w:p>
            <w:pPr>
              <w:pStyle w:val="Compact"/>
              <w:keepNext/>
              <w:spacing w:after="0" w:before="0"/>
              <w:jc w:val="left"/>
            </w:pPr>
            <m:oMath>
              <m:sSub>
                <m:e>
                  <m:r>
                    <m:t>p</m:t>
                  </m:r>
                </m:e>
                <m:sub>
                  <m:r>
                    <m:t>0</m:t>
                  </m:r>
                </m:sub>
              </m:sSub>
            </m:oMath>
            <w:r>
              <w:rPr>
                <w:sz w:val="20"/>
              </w:rPr>
              <w:t xml:space="preserve"> </w:t>
            </w:r>
            <w:r>
              <w:rPr>
                <w:sz w:val="20"/>
              </w:rPr>
              <w:t xml:space="preserve">de 0,2 a 0,6; ρ = 0 ou 0,2</w:t>
            </w:r>
          </w:p>
        </w:tc>
        <w:tc>
          <w:tcPr/>
          <w:p>
            <w:pPr>
              <w:pStyle w:val="Compact"/>
              <w:keepNext/>
              <w:spacing w:after="0" w:before="0"/>
              <w:jc w:val="left"/>
            </w:pPr>
            <w:r>
              <w:rPr>
                <w:sz w:val="20"/>
              </w:rPr>
              <w:t xml:space="preserve">14 a 20</w:t>
            </w:r>
          </w:p>
        </w:tc>
      </w:tr>
      <w:tr>
        <w:tc>
          <w:tcPr/>
          <w:p>
            <w:pPr>
              <w:pStyle w:val="Compact"/>
              <w:keepNext/>
              <w:spacing w:after="0" w:before="0"/>
              <w:jc w:val="left"/>
            </w:pPr>
            <w:r>
              <w:rPr>
                <w:sz w:val="20"/>
              </w:rPr>
              <w:t xml:space="preserve">H1b: margem do racionamento, 2023-2024</w:t>
            </w:r>
          </w:p>
        </w:tc>
        <w:tc>
          <w:tcPr/>
          <w:p>
            <w:pPr>
              <w:pStyle w:val="Compact"/>
              <w:keepNext/>
              <w:spacing w:after="0" w:before="0"/>
              <w:jc w:val="left"/>
            </w:pPr>
            <w:r>
              <w:rPr>
                <w:sz w:val="20"/>
              </w:rPr>
              <w:t xml:space="preserve">20 a 30 projetos por grupo</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29 a 43</w:t>
            </w:r>
          </w:p>
        </w:tc>
      </w:tr>
      <w:tr>
        <w:tc>
          <w:tcPr/>
          <w:p>
            <w:pPr>
              <w:pStyle w:val="Compact"/>
              <w:keepNext/>
              <w:spacing w:after="0" w:before="0"/>
              <w:jc w:val="left"/>
            </w:pPr>
            <w:r>
              <w:rPr>
                <w:sz w:val="20"/>
              </w:rPr>
              <w:t xml:space="preserve">H3: oferta sorteada por agente</w:t>
            </w:r>
          </w:p>
        </w:tc>
        <w:tc>
          <w:tcPr/>
          <w:p>
            <w:pPr>
              <w:pStyle w:val="Compact"/>
              <w:keepNext/>
              <w:spacing w:after="0" w:before="0"/>
              <w:jc w:val="left"/>
            </w:pPr>
            <w:r>
              <w:rPr>
                <w:sz w:val="20"/>
              </w:rPr>
              <w:t xml:space="preserve">1.000 a 4.000 agentes</w:t>
            </w:r>
          </w:p>
        </w:tc>
        <w:tc>
          <w:tcPr/>
          <w:p>
            <w:pPr>
              <w:pStyle w:val="Compact"/>
              <w:keepNext/>
              <w:spacing w:after="0" w:before="0"/>
              <w:jc w:val="left"/>
            </w:pPr>
            <m:oMath>
              <m:sSub>
                <m:e>
                  <m:r>
                    <m:t>p</m:t>
                  </m:r>
                </m:e>
                <m:sub>
                  <m:r>
                    <m:t>0</m:t>
                  </m:r>
                </m:sub>
              </m:sSub>
            </m:oMath>
            <w:r>
              <w:rPr>
                <w:sz w:val="20"/>
              </w:rPr>
              <w:t xml:space="preserve"> </w:t>
            </w:r>
            <w:r>
              <w:rPr>
                <w:sz w:val="20"/>
              </w:rPr>
              <w:t xml:space="preserve">de 2% a 10%</w:t>
            </w:r>
          </w:p>
        </w:tc>
        <w:tc>
          <w:tcPr/>
          <w:p>
            <w:pPr>
              <w:pStyle w:val="Compact"/>
              <w:keepNext/>
              <w:spacing w:after="0" w:before="0"/>
              <w:jc w:val="left"/>
            </w:pPr>
            <w:r>
              <w:rPr>
                <w:sz w:val="20"/>
              </w:rPr>
              <w:t xml:space="preserve">1,2 a 5,3</w:t>
            </w:r>
          </w:p>
        </w:tc>
      </w:tr>
      <w:tr>
        <w:tc>
          <w:tcPr/>
          <w:p>
            <w:pPr>
              <w:pStyle w:val="Compact"/>
              <w:spacing w:after="0" w:before="0"/>
              <w:jc w:val="left"/>
            </w:pPr>
            <w:r>
              <w:rPr>
                <w:sz w:val="20"/>
              </w:rPr>
              <w:t xml:space="preserve">H3: oferta sorteada por município</w:t>
            </w:r>
          </w:p>
        </w:tc>
        <w:tc>
          <w:tcPr/>
          <w:p>
            <w:pPr>
              <w:pStyle w:val="Compact"/>
              <w:spacing w:after="0" w:before="0"/>
              <w:jc w:val="left"/>
            </w:pPr>
            <w:r>
              <w:rPr>
                <w:sz w:val="20"/>
              </w:rPr>
              <w:t xml:space="preserve">71 municípios do interior, 20 a 50 agentes cada</w:t>
            </w:r>
          </w:p>
        </w:tc>
        <w:tc>
          <w:tcPr/>
          <w:p>
            <w:pPr>
              <w:pStyle w:val="Compact"/>
              <w:spacing w:after="0" w:before="0"/>
              <w:jc w:val="left"/>
            </w:pPr>
            <m:oMath>
              <m:sSub>
                <m:e>
                  <m:r>
                    <m:t>p</m:t>
                  </m:r>
                </m:e>
                <m:sub>
                  <m:r>
                    <m:t>0</m:t>
                  </m:r>
                </m:sub>
              </m:sSub>
            </m:oMath>
            <w:r>
              <w:rPr>
                <w:sz w:val="20"/>
              </w:rPr>
              <w:t xml:space="preserve"> </w:t>
            </w:r>
            <w:r>
              <w:rPr>
                <w:sz w:val="20"/>
              </w:rPr>
              <w:t xml:space="preserve">de 5% a 10%; ρ de 0,02 a 0,05</w:t>
            </w:r>
          </w:p>
        </w:tc>
        <w:tc>
          <w:tcPr/>
          <w:p>
            <w:pPr>
              <w:pStyle w:val="Compact"/>
              <w:spacing w:after="0" w:before="0"/>
              <w:jc w:val="left"/>
            </w:pPr>
            <w:r>
              <w:rPr>
                <w:sz w:val="20"/>
              </w:rPr>
              <w:t xml:space="preserve">2,9 a 6,3</w:t>
            </w:r>
          </w:p>
        </w:tc>
      </w:tr>
    </w:tbl>
    <w:p>
      <w:pPr>
        <w:pStyle w:val="BodyText"/>
      </w:pPr>
      <w:r>
        <w:rPr>
          <w:sz w:val="20"/>
        </w:rPr>
        <w:t xml:space="preserve">Fonte: elaboração própria;</w:t>
      </w:r>
      <w:r>
        <w:rPr>
          <w:sz w:val="20"/>
        </w:rPr>
        <w:t xml:space="preserve"> </w:t>
      </w:r>
      <w:r>
        <w:rPr>
          <w:rStyle w:val="VerbatimChar"/>
          <w:sz w:val="20"/>
        </w:rPr>
        <w:t xml:space="preserve">analise/tabelas/07_poder_hipoteses.csv</w:t>
      </w:r>
      <w:r>
        <w:rPr>
          <w:sz w:val="20"/>
        </w:rPr>
        <w:t xml:space="preserve"> </w:t>
      </w:r>
      <w:r>
        <w:rPr>
          <w:sz w:val="20"/>
        </w:rPr>
        <w:t xml:space="preserve">(script</w:t>
      </w:r>
      <w:r>
        <w:rPr>
          <w:sz w:val="20"/>
        </w:rPr>
        <w:t xml:space="preserve"> </w:t>
      </w:r>
      <w:r>
        <w:rPr>
          <w:rStyle w:val="VerbatimChar"/>
          <w:sz w:val="20"/>
        </w:rPr>
        <w:t xml:space="preserve">analise/07_hipoteses_h1_h3.py</w:t>
      </w:r>
      <w:r>
        <w:rPr>
          <w:sz w:val="20"/>
        </w:rPr>
        <w:t xml:space="preserve">, com as funções de</w:t>
      </w:r>
      <w:r>
        <w:rPr>
          <w:sz w:val="20"/>
        </w:rPr>
        <w:t xml:space="preserve"> </w:t>
      </w:r>
      <w:r>
        <w:rPr>
          <w:rStyle w:val="VerbatimChar"/>
          <w:sz w:val="20"/>
        </w:rPr>
        <w:t xml:space="preserve">analise/05_poder_mde.py</w:t>
      </w:r>
      <w:r>
        <w:rPr>
          <w:sz w:val="20"/>
        </w:rPr>
        <w:t xml:space="preserve">).</w:t>
      </w:r>
    </w:p>
    <w:p>
      <w:pPr>
        <w:pStyle w:val="BodyText"/>
      </w:pPr>
      <w:r>
        <w:t xml:space="preserve">A comparação na margem do racionamento só detecta efeitos muito grandes e serve como verificação de robustez. A comparação entre quem captou e quem expirou tem poder razoável, mas seu problema é o viés, não a amostra. O desenho de H3 detecta efeitos de poucos pontos. Com poder baixo, uma estimativa</w:t>
      </w:r>
      <w:r>
        <w:t xml:space="preserve"> </w:t>
      </w:r>
      <w:r>
        <w:t xml:space="preserve">“significativa”</w:t>
      </w:r>
      <w:r>
        <w:t xml:space="preserve"> </w:t>
      </w:r>
      <w:r>
        <w:t xml:space="preserve">tende a exagerar o efeito verdadeiro (GELMAN; CARLIN, 2014), o que recomenda pré-registrar o plano de análise.</w:t>
      </w:r>
    </w:p>
    <w:bookmarkEnd w:id="24"/>
    <w:bookmarkStart w:id="25"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(quem não capta pode executar com outra fonte; o SALIC entra como resultado), a seleção por fatores que mudam no tempo, os eventos externos do período (Lei Paulo Gustavo e Política Nacional Aldir Blanc) e o atrito dos dados: projeto sem registro não é projeto que não aconteceu. A validade externa é limitada. As comparações de H1b valem para o regime de 2022-2024, em que a habilitação precedia a busca por patrocinador. Desde 2025 essa ordem se inverteu e os expirados quase desapareceram (3 em 56 resolvidos no ciclo 2025). No plano ético, nenhum desenho nega ou adia o acesso de elegíveis, e a oferta de apoio só acrescenta informação. O uso de dados identificados exige anonimização, conforme a LGPD, e uma pesquisa com o público exigiria aprovação de comitê de ética.</w:t>
      </w:r>
    </w:p>
    <w:bookmarkEnd w:id="25"/>
    <w:bookmarkEnd w:id="26"/>
    <w:bookmarkStart w:id="27" w:name="conclusão"/>
    <w:p>
      <w:pPr>
        <w:pStyle w:val="Heading1"/>
      </w:pPr>
      <w:r>
        <w:t xml:space="preserve">6 Conclusão</w:t>
      </w:r>
    </w:p>
    <w:p>
      <w:pPr>
        <w:pStyle w:val="FirstParagraph"/>
      </w:pPr>
      <w:r>
        <w:t xml:space="preserve">A LICC é um gasto tributário de crescimento rápido, sem problema declarado, sem objetivos mensuráveis e sem previsão de avaliação, em que o Estado define quem pode receber e as empresas decidem quem recebe. Duas premissas de critério não são atendidas pelo desenho: a habilitação qualifica sem priorizar, e o racionamento no teto segue a ordem de chegada. A escolha pelas empresas é contestada: o financiamento vem de poucas empresas de serviços regulados, mas sem viés territorial forte. A entrada e a entrega, os extremos da cadeia, são indeterminadas, porque a SECULT não publica os inscritos nem o público alcançado.</w:t>
      </w:r>
    </w:p>
    <w:p>
      <w:pPr>
        <w:pStyle w:val="BodyText"/>
      </w:pPr>
      <w:r>
        <w:t xml:space="preserve">Sem mexer no mecanismo, há recomendações que dependem só da gestão: declarar objetivos, metas e indicadores; publicar os inscritos e os motivos de inabilitação; publicar, por projeto, o CNPJ do proponente, a sede, a captação por cota e as datas; e publicar as contrapartidas executadas e o público alcançado.</w:t>
      </w:r>
    </w:p>
    <w:p>
      <w:pPr>
        <w:pStyle w:val="BodyText"/>
      </w:pPr>
      <w:r>
        <w:t xml:space="preserve">A proposta de avaliação transforma as premissas em três perguntas: a adicionalidade do financiamento (H1b), pelo racionamento no teto e pelos habilitados que não captaram; o efeito do atrito na entrada (H3), por uma oferta sorteada de apoio à inscrição, com bom poder; e o papel da avaliação da SECULT (H2a), descritivo porque o parecer não dá nota. As limitações são as dos dados. A situação publicada serve de aproximação para a captação, a estreia é medida por nome de proponente, e o retrato territorial cobre 74% do valor.</w:t>
      </w:r>
    </w:p>
    <w:bookmarkEnd w:id="27"/>
    <w:bookmarkStart w:id="28" w:name="referências"/>
    <w:p>
      <w:pPr>
        <w:pStyle w:val="Heading1"/>
      </w:pPr>
      <w:r>
        <w:t xml:space="preserve">Referências</w:t>
      </w:r>
    </w:p>
    <w:p>
      <w:pPr>
        <w:pStyle w:val="FirstParagraph"/>
      </w:pPr>
      <w:r>
        <w:t xml:space="preserve">ALCÂNTARA, Jessica Nunes de; BENEDICTO, Gideon Carvalho de; SILVA, Sabrina Soares da. Possible key factors for Brazilian publicly traded companies to adopt a sponsorship strategy.</w:t>
      </w:r>
      <w:r>
        <w:t xml:space="preserve"> </w:t>
      </w:r>
      <w:r>
        <w:rPr>
          <w:b/>
          <w:bCs/>
        </w:rPr>
        <w:t xml:space="preserve">Journal of Strategy and Management</w:t>
      </w:r>
      <w:r>
        <w:t xml:space="preserve">, v. 12, n. 4, p. 429-446, 2019. DOI: 10.1108/JSMA-04-2018-0029.</w:t>
      </w:r>
    </w:p>
    <w:p>
      <w:pPr>
        <w:pStyle w:val="BodyText"/>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BodyText"/>
      </w:pPr>
      <w:r>
        <w:t xml:space="preserve">BORGONOVI, Francesca; O’HARE, Michael. The impact of the National Endowment for the Arts in the United States: institutional and sectoral effects on private funding.</w:t>
      </w:r>
      <w:r>
        <w:t xml:space="preserve"> </w:t>
      </w:r>
      <w:r>
        <w:rPr>
          <w:b/>
          <w:bCs/>
        </w:rPr>
        <w:t xml:space="preserve">Journal of Cultural Economics</w:t>
      </w:r>
      <w:r>
        <w:t xml:space="preserve">, v. 28, n. 1, p. 21-36, 2004. DOI: 10.1023/B:JCEC.0000009823.76834.64.</w:t>
      </w:r>
    </w:p>
    <w:p>
      <w:pPr>
        <w:pStyle w:val="BodyText"/>
      </w:pPr>
      <w:r>
        <w:t xml:space="preserve">BRADBURY, J. C. Do movie production incentives generate economic development?</w:t>
      </w:r>
      <w:r>
        <w:t xml:space="preserve"> </w:t>
      </w:r>
      <w:r>
        <w:rPr>
          <w:b/>
          <w:bCs/>
        </w:rPr>
        <w:t xml:space="preserve">Contemporary Economic Policy</w:t>
      </w:r>
      <w:r>
        <w:t xml:space="preserve">, v. 38, n. 2, p. 327-342, 2020. DOI: 10.1111/coep.12443.</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2026a. Disponível em: https://apidatalake.tesouro.gov.br/ords/siconfi/tt/dca. Acesso em: 23 set. 2026.</w:t>
      </w:r>
    </w:p>
    <w:p>
      <w:pPr>
        <w:pStyle w:val="BodyText"/>
      </w:pPr>
      <w:r>
        <w:t xml:space="preserve">BRASIL. Ministério da Cultura.</w:t>
      </w:r>
      <w:r>
        <w:t xml:space="preserve"> </w:t>
      </w:r>
      <w:r>
        <w:rPr>
          <w:b/>
          <w:bCs/>
        </w:rPr>
        <w:t xml:space="preserve">SALIC</w:t>
      </w:r>
      <w:r>
        <w:t xml:space="preserve">: API de dados abertos (projetos e incentivadores da Lei Rouanet). Brasília: MinC, 2026b. Disponível em: https://api.salic.cultura.gov.br/api/v1. Acesso em: 24 set. 2026.</w:t>
      </w:r>
    </w:p>
    <w:p>
      <w:pPr>
        <w:pStyle w:val="BodyText"/>
      </w:pPr>
      <w:r>
        <w:t xml:space="preserve">BROOKS, A. C. In search of true public arts support.</w:t>
      </w:r>
      <w:r>
        <w:t xml:space="preserve"> </w:t>
      </w:r>
      <w:r>
        <w:rPr>
          <w:b/>
          <w:bCs/>
        </w:rPr>
        <w:t xml:space="preserve">Public Budgeting &amp; Finance</w:t>
      </w:r>
      <w:r>
        <w:t xml:space="preserve">, v. 24, n. 2, p. 88-100, 2004. DOI: 10.1111/j.0275-1100.2004.02402006.x.</w:t>
      </w:r>
    </w:p>
    <w:p>
      <w:pPr>
        <w:pStyle w:val="BodyText"/>
      </w:pPr>
      <w:r>
        <w:t xml:space="preserve">BUTTON, Patrick. Do tax incentives affect business location and economic development? Evidence from state film incentives.</w:t>
      </w:r>
      <w:r>
        <w:t xml:space="preserve"> </w:t>
      </w:r>
      <w:r>
        <w:rPr>
          <w:b/>
          <w:bCs/>
        </w:rPr>
        <w:t xml:space="preserve">Regional Science and Urban Economics</w:t>
      </w:r>
      <w:r>
        <w:t xml:space="preserve">, v. 77, p. 315-339, 2019. DOI: 10.1016/j.regsciurbeco.2019.06.002.</w:t>
      </w:r>
    </w:p>
    <w:p>
      <w:pPr>
        <w:pStyle w:val="BodyText"/>
      </w:pPr>
      <w:r>
        <w:t xml:space="preserve">COLOMBO, Daniel Gama e; CRUZ, Hélio Nogueira da. Impact assessment of innovation tax incentives in Brazil.</w:t>
      </w:r>
      <w:r>
        <w:t xml:space="preserve"> </w:t>
      </w:r>
      <w:r>
        <w:rPr>
          <w:b/>
          <w:bCs/>
        </w:rPr>
        <w:t xml:space="preserve">Innovation &amp; Management Review</w:t>
      </w:r>
      <w:r>
        <w:t xml:space="preserve">, v. 20, n. 1, p. 28-42, 2023. DOI: 10.1108/INMR-11-2020-0167.</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GOMES, Pedro; LIBRERO-CANO, Alejandro. Evaluating three decades of the European Capital of Culture programme: a difference-in-differences approach.</w:t>
      </w:r>
      <w:r>
        <w:t xml:space="preserve"> </w:t>
      </w:r>
      <w:r>
        <w:rPr>
          <w:b/>
          <w:bCs/>
        </w:rPr>
        <w:t xml:space="preserve">Journal of Cultural Economics</w:t>
      </w:r>
      <w:r>
        <w:t xml:space="preserve">, v. 42, n. 1, p. 57-73, 2018. DOI: 10.1007/s10824-016-9281-x.</w:t>
      </w:r>
    </w:p>
    <w:p>
      <w:pPr>
        <w:pStyle w:val="BodyText"/>
      </w:pPr>
      <w:r>
        <w:t xml:space="preserve">GUIMARÃES, Bruno Costa. Concentração cultural: por que podemos dizer que, no Brasil, o investimento na cultura está mais concentrado que o PIB?</w:t>
      </w:r>
      <w:r>
        <w:t xml:space="preserve"> </w:t>
      </w:r>
      <w:r>
        <w:rPr>
          <w:b/>
          <w:bCs/>
        </w:rPr>
        <w:t xml:space="preserve">Mediações – Revista de Ciências Sociais</w:t>
      </w:r>
      <w:r>
        <w:t xml:space="preserve">, Londrina, v. 25, n. 2, 2020. DOI: 10.5433/2176-6665.2020v25n2p412.</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BodyText"/>
      </w:pPr>
      <w:r>
        <w:t xml:space="preserve">SCHUSTER, J. Mark. Tax incentives in cultural policy.</w:t>
      </w:r>
      <w:r>
        <w:t xml:space="preserve"> </w:t>
      </w:r>
      <w:r>
        <w:rPr>
          <w:i/>
          <w:iCs/>
        </w:rPr>
        <w:t xml:space="preserve">In</w:t>
      </w:r>
      <w:r>
        <w:t xml:space="preserve">: GINSBURGH, V. A.; THROSBY, D. (ed.).</w:t>
      </w:r>
      <w:r>
        <w:t xml:space="preserve"> </w:t>
      </w:r>
      <w:r>
        <w:rPr>
          <w:b/>
          <w:bCs/>
        </w:rPr>
        <w:t xml:space="preserve">Handbook of the economics of art and culture</w:t>
      </w:r>
      <w:r>
        <w:t xml:space="preserve">. Amsterdam: Elsevier, 2006. v. 1, p. 1253-1298. DOI: 10.1016/S1574-0676(06)01036-2.</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Cultura em Dados</w:t>
      </w:r>
      <w:r>
        <w:t xml:space="preserve">: evento apresenta resultados de pesquisa sobre a Lei de Incentivo à Cultura Capixaba (LICC) e o Boletim da Economia Criativa. Vitória: SECULT, 2026d. Disponível em: https://secult.es.gov.br/cultura-em-dados-evento-apresenta-resultados-de-pesquisa-sobre-a-lei-de-incentivo-a-cultura-capixaba-licc-e-o-boletim-da-economia-criativa. Acesso em: 24 set. 2026. [VERIFICAR: página lida só pelo resumo do buscador.]</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2026e.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2026f. Disponível em: https://secult.es.gov.br/LICC. Acesso em: 24 set. 2026.</w:t>
      </w:r>
    </w:p>
    <w:p>
      <w:pPr>
        <w:pStyle w:val="BodyText"/>
      </w:pPr>
      <w:r>
        <w:t xml:space="preserve">SECULT – SECRETARIA DE ESTADO DA CULTURA DO ESPÍRITO SANTO.</w:t>
      </w:r>
      <w:r>
        <w:t xml:space="preserve"> </w:t>
      </w:r>
      <w:r>
        <w:rPr>
          <w:b/>
          <w:bCs/>
        </w:rPr>
        <w:t xml:space="preserve">Sobre a LICC</w:t>
      </w:r>
      <w:r>
        <w:t xml:space="preserve">. Vitória: SECULT, [202-]. Disponível em: https://secult.es.gov.br/sobre-a-licc.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BodyText"/>
      </w:pPr>
      <w:r>
        <w:t xml:space="preserve">TEIXEIRA, Lusvânio Carlos; XAVIER, Wescley Silva; FARIA, Evandro Rodrigues de. Distribuição geográfica de projetos culturais com captação de recursos via Lei Rouanet.</w:t>
      </w:r>
      <w:r>
        <w:t xml:space="preserve"> </w:t>
      </w:r>
      <w:r>
        <w:rPr>
          <w:b/>
          <w:bCs/>
        </w:rPr>
        <w:t xml:space="preserve">DRd – Desenvolvimento Regional em Debate</w:t>
      </w:r>
      <w:r>
        <w:t xml:space="preserve">, v. 14, p. 556-578, 2024. DOI: 10.24302/drd.v14.5320.</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bookmarkEnd w:id="28"/>
    <w:bookmarkStart w:id="29" w:name="X6e5363a2ea64c40705be1be4ad3b57716cacb0d"/>
    <w:p>
      <w:pPr>
        <w:pStyle w:val="Heading1"/>
      </w:pPr>
      <w:r>
        <w:t xml:space="preserve">Declaração de uso de inteligência artificial</w:t>
      </w:r>
    </w:p>
    <w:p>
      <w:pPr>
        <w:pStyle w:val="FirstParagraph"/>
      </w:pPr>
      <w:r>
        <w:t xml:space="preserve">[Adequar ao modelo anexo às instruções da disciplina.] Os autores utilizaram ferramenta de inteligência artificial generativa (Claude, da Anthropic) como apoio na organização dos dados, na programação dos scripts de análise e das figuras, na busca e conferência de referências e na redação de versões preliminares do texto, conforme a Portaria CNPq nº 2.664/2026. Todo o conteúdo foi revisado pelos autores, que assumem integral responsabilidade pelos dados, análises e conclusões.</w:t>
      </w:r>
    </w:p>
    <w:bookmarkEnd w:id="29"/>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o anexo de captação da SECULT informa R$ 15 milhões disponíveis (R$ 11,5 milhões validados). Sem o ato de ampliação, o montante de 2022 fica indeterminado entre os dois valores.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Ministério da Cultura (SALIC). A lista de habilitados foi transcrita na versão disponível em 3 set. 2026 (repositório licc.gov); a SECULT atualizou o arquivo em 10 set. 2026, e os status publicados podem ter mudado desde então. Dados, scripts e tabelas estão em</w:t>
      </w:r>
      <w:r>
        <w:t xml:space="preserve"> </w:t>
      </w:r>
      <w:hyperlink r:id="rId11">
        <w:r>
          <w:rPr>
            <w:rStyle w:val="Hyperlink"/>
          </w:rPr>
          <w:t xml:space="preserve">https://github.com/fcarva/aval-pol</w:t>
        </w:r>
      </w:hyperlink>
      <w:r>
        <w:t xml:space="preserve">, nos diretórios</w:t>
      </w:r>
      <w:r>
        <w:t xml:space="preserve"> </w:t>
      </w:r>
      <w:r>
        <w:rPr>
          <w:rStyle w:val="VerbatimChar"/>
        </w:rPr>
        <w:t xml:space="preserve">dados/</w:t>
      </w:r>
      <w:r>
        <w:t xml:space="preserve">,</w:t>
      </w:r>
      <w:r>
        <w:t xml:space="preserve"> </w:t>
      </w:r>
      <w:r>
        <w:rPr>
          <w:rStyle w:val="VerbatimChar"/>
        </w:rPr>
        <w:t xml:space="preserve">analise/</w:t>
      </w:r>
      <w:r>
        <w:t xml:space="preserve"> </w:t>
      </w:r>
      <w:r>
        <w:t xml:space="preserve">e</w:t>
      </w:r>
      <w:r>
        <w:t xml:space="preserve"> </w:t>
      </w:r>
      <w:r>
        <w:rPr>
          <w:rStyle w:val="VerbatimChar"/>
        </w:rPr>
        <w:t xml:space="preserve">analise/tabelas/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hyperlink" Target="https://github.com/fcarva/aval-pol"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ithub.com/fcarva/aval-p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[Autor(a) 1] e [Autor(a) 2] — PPGEco/UFES, PECO 5046-6046 Avaliação de Políticas Públicas</dc:creator>
  <dc:language>pt-BR</dc:language>
  <cp:keywords/>
  <dcterms:created xsi:type="dcterms:W3CDTF">2026-09-24T14:55:51Z</dcterms:created>
  <dcterms:modified xsi:type="dcterms:W3CDTF">2026-09-24T14:55:51Z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