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Avaliação do desenho da Lei de Incentivo à Cultura Capixaba e proposta de avaliação de impacto</w:t>
      </w:r>
    </w:p>
    <w:p>
      <w:pPr>
        <w:pStyle w:val="Author"/>
      </w:pPr>
      <w:r>
        <w:t xml:space="preserve">Felipe Carvalho Souza Santos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não entra na equação. Neste artigo, avalia-se o desenho da LICC: a partir da teoria da mudança derivam-se cinco premissas, por meio de normas, anexos oficiais e atas da comissão de 2022 a 2026, que orientam uma proposta de avaliação de impacto. A decisão de financiamento não mostra orientação evidente pelo valor público: duas empresas respondem por metade da renúncia de 2025, e o bem cultural oferecido à população confunde-se com o marketing das empresas. A decisão se concentra em poucos atores: a habilitação qualifica sem priorizar, e o que excede o teto é decidido pela ordem de recebimento e validação dos termos de patrocínio. Até 13% do valor captado em 2025 poderia remunerar captação e elaboração, projetos pequenos captam cada vez menos, e só pessoas jurídicas contribuintes patrocinam. A avaliação de impacto proposta faz uma pergunta, se a renúncia vai para os projetos que dependem dela, e a responde com os grupos que a própria regra cria (termos recusados por esgotamento da cota, habilitados sem patrocinador e inabilitados), com fontes de dados e poder estatístico.</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 2021a). A Lei de Incentivo à Cultura Capixaba (LICC) cresceu: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em três registros distintos: os termos de patrocínio listados pela SECULT somam exatamente o montante de cada ano, e a soma coincide com a dos termos no Portal da Transparência e com a renúncia realizada informada pela SEFAZ (em 2025, 62 projetos validados somam R$ 24,64 milhões, e um ainda</w:t>
      </w:r>
      <w:r>
        <w:t xml:space="preserve"> </w:t>
      </w:r>
      <w:r>
        <w:t xml:space="preserve">“em análise na SEFAZ”</w:t>
      </w:r>
      <w:r>
        <w:t xml:space="preserve"> </w:t>
      </w:r>
      <w:r>
        <w:t xml:space="preserve">no anexo, cujos termos estão no Portal e tiveram depósito publicado no Diário Oficial, completa os R$ 25 milhões; os números de 2025 contam os 63). A demanda supera o teto: nos cinco ciclos de habilitação (2022-2026), 463 projetos foram autorizados a captar, somados, R$ 184 milhões (459 com valor válido), acima da soma dos tetos do período, de R$ 111 milhões.</w:t>
      </w:r>
      <w:r>
        <w:rPr>
          <w:rStyle w:val="FootnoteReference"/>
        </w:rPr>
        <w:footnoteReference w:id="10"/>
      </w:r>
    </w:p>
    <w:p>
      <w:pPr>
        <w:pStyle w:val="BodyText"/>
      </w:pPr>
      <w:r>
        <w:t xml:space="preserve">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a falta de coordenação entre tomadores de decisão e proponentes dos bens públicos culturais, que a LICC financia, e não um atraso da atividade criativa em execução. A desigualdade de infraestrutura também é interna: em 2021, 95% da população da Região Metropolitana da Grande Vitória (RMGV) vivia em município com cinema, contra 34% da do interior, e metade dos municípios do interior não tinha fundo municipal de cultura (IBGE, 2022). 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BodyText"/>
      </w:pPr>
      <w:r>
        <w:t xml:space="preserve">A avaliação da LICC se justifica por duas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w:t>
      </w:r>
    </w:p>
    <w:p>
      <w:pPr>
        <w:pStyle w:val="BodyText"/>
      </w:pPr>
      <w:r>
        <w:t xml:space="preserve">O artigo tem dois objetivos: avaliar o desenho da LICC,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R$ 15 mi em 2022 (10 mi ampliados em setembro) e 2023, 25 mi em 2024 e 2025, 31 mi em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 delegação da escolha: o Estado define quem pode receber; a empresa define quem recebe. 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 pouca informação publicada: os anexos não trazem dados dos projetos do proponente, o local de atuação nem indicadores de resultado, e os inabilitados só aparecem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se tornaram</w:t>
      </w:r>
      <w:r>
        <w:t xml:space="preserve"> </w:t>
      </w:r>
      <w:r>
        <w:t xml:space="preserve">“mecenas apesar de si mesmos”</w:t>
      </w:r>
      <w:r>
        <w:t xml:space="preserve">, porque financiam pela renúncia as escolhas que não fazem. A dificuldade de financiamento de bens públicos e a falta de coordenação entre conselhos de pareceristas e as preferências do público justificam a investigação econômica e o papel do bem público para 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de fundo de contrapartida e contribuição por parte do público.</w:t>
      </w:r>
    </w:p>
    <w:p>
      <w:pPr>
        <w:pStyle w:val="BodyText"/>
      </w:pP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Existem poucos trabalhos de avaliação do incentivo cultural no Brasil; as avaliações encontradas de leis estaduais via ICMS são correlacionais: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A única avaliação da LICC, contratada pela SECULT ao IJSN com a FAPES em 2025, divulgou resultados preliminares com um</w:t>
      </w:r>
      <w:r>
        <w:t xml:space="preserve"> </w:t>
      </w:r>
      <w:r>
        <w:t xml:space="preserve">“efeito multiplicador de 1,74”</w:t>
      </w:r>
      <w:r>
        <w:t xml:space="preserve"> </w:t>
      </w:r>
      <w:r>
        <w:t xml:space="preserve">por real investido (IJSN, 2026; DIO-ES, 2026): a medida registra a atividade gerada pelo gasto, e não o que ocorreria sem o incentivo.</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A teoria da mudança da LICC (Figura 1) segue cinco passos: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 Por isso a Figura 1 separa três cadeias: a entrada, o financiamento e a entrega, e indica quem decide em cada elo.</w:t>
      </w:r>
    </w:p>
    <w:p>
      <w:pPr>
        <w:pStyle w:val="BodyText"/>
      </w:pP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 Há dois riscos (efeitos não esperados): o teto fixo desloca outros projetos, e o crédito integral pode substituir o patrocínio próprio da empresa.</w:t>
      </w:r>
    </w:p>
    <w:p>
      <w:pPr>
        <w:pStyle w:val="BodyText"/>
        <w:keepNext/>
      </w:pPr>
      <w:r>
        <w:rPr>
          <w:b/>
        </w:rPr>
        <w:t>Figura 1</w:t>
      </w:r>
      <w:r>
        <w:rPr>
          <w:b w:val="0"/>
        </w:rPr>
        <w:t xml:space="preserve"> – Teoria da mudança da LICC</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no relatório de avaliação do PPA, a LICC aparece só no relato de uma ação de despesa, sem produto nem meta física próprios (ESPÍRITO SANTO, 2026b). A LICC não atende ao critério de que um programa declare resultados e magnitude esperados (BARROS; LIMA, 2017).</w:t>
      </w:r>
    </w:p>
    <w:p>
      <w:pPr>
        <w:pStyle w:val="BodyText"/>
      </w:pP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Indeterminada: marca e valor público não se separam no dado público</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2026a)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Os pedidos se acumulam no teto por projeto: 36% dos habilitados do ciclo 2025 pediram exatamente R$ 500 mil, o que também ocorre se quem já tem patrocinador pede o máximo. O custo de entrada é o que a literatura chama de custo administrativo (MOYNIHAN; HERD; HARVEY, 2015); ele pode excluir sem selecionar ou funcionar como triagem (FINKELSTEIN; NOTOWIDIGDO, 2019).</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As atas de 158 reuniões com deliberação, de 2022 a 2026, listam 86 projetos inabilitados, 15% dos deliberados, sem motivo nem critério publicados (SECULT, 2026f). A habilitação qualifica, mas não prioriza, e o que excedeu o teto em 2023-2025 ficou de fora pela regra da ordem de chegada e validação (SECULT, 2026c), cuja aplicação só as horas de protocolo dos recusados, não publicadas, permitiriam conferir. A ordenação seria possível: no Funcultura, a mesma SECULT atribui nota e ordena os projetos por linha e porte do município (SECULT, 2026g).</w:t>
      </w:r>
    </w:p>
    <w:p>
      <w:pPr>
        <w:pStyle w:val="BodyText"/>
      </w:pP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indeterminada.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a exclusão (H4) não se sustenta, com evidência mista; o marketing (H1) fica indeterminado, porque marca e valor público não se separam no dado público, e a taxa de serviço (H3) e a entrega (H5), por falta de dado. A seção 5 propõe uma avaliação que liga três delas: se a escolha pela marca (H1) deixa de fora quem depende do incentivo (H4) e financia o que ocorreria de todo modo (H5).</w:t>
      </w:r>
    </w:p>
    <w:bookmarkEnd w:id="23"/>
    <w:bookmarkEnd w:id="24"/>
    <w:bookmarkStart w:id="31" w:name="proposta-de-avaliação-de-impacto"/>
    <w:p>
      <w:pPr>
        <w:pStyle w:val="Heading1"/>
      </w:pPr>
      <w:r>
        <w:t xml:space="preserve">5 Proposta de avaliação de impacto</w:t>
      </w:r>
    </w:p>
    <w:bookmarkStart w:id="25" w:name="pergunta-e-parâmetros"/>
    <w:p>
      <w:pPr>
        <w:pStyle w:val="Heading2"/>
      </w:pPr>
      <w:r>
        <w:t xml:space="preserve">5.1 Pergunta e parâmetros</w:t>
      </w:r>
    </w:p>
    <w:p>
      <w:pPr>
        <w:pStyle w:val="FirstParagraph"/>
      </w:pPr>
      <w:r>
        <w:t xml:space="preserve">Todo programa com mais demanda que recurso precisa de uma regra de racionamento: ordem de chegada, características observadas pelo gestor, características que só o candidato conhece ou sorteio (GERTLER</w:t>
      </w:r>
      <w:r>
        <w:t xml:space="preserve"> </w:t>
      </w:r>
      <w:r>
        <w:rPr>
          <w:i/>
          <w:iCs/>
        </w:rPr>
        <w:t xml:space="preserve">et al.</w:t>
      </w:r>
      <w:r>
        <w:t xml:space="preserve">, 2018, p. 75). A LICC combina duas. A primeira é a preferência de quem recolhe o imposto, que o Estado não observa; a segunda é a ordem de chegada dos termos à SEFAZ. A CAP qualifica, mas não ordena (seção 4.2). Por isso a avaliação faz uma única pergunta, que reúne H1, H4 e H5:</w:t>
      </w:r>
      <w:r>
        <w:t xml:space="preserve"> </w:t>
      </w:r>
      <w:r>
        <w:rPr>
          <w:b/>
          <w:bCs/>
        </w:rPr>
        <w:t xml:space="preserve">a renúncia vai para os projetos que dependem dela?</w:t>
      </w:r>
      <w:r>
        <w:t xml:space="preserve"> </w:t>
      </w:r>
      <w:r>
        <w:t xml:space="preserve">Se as empresas escolhem projetos grandes e recorrentes, que aconteceriam sem o incentivo, e ficam de fora os pequenos, que só acontecem com ele, o crédito integral paga a marca do patrocinador e compra pouco bem cultural adicional.</w:t>
      </w:r>
    </w:p>
    <w:p>
      <w:pPr>
        <w:pStyle w:val="BodyText"/>
      </w:pPr>
      <w:r>
        <w:t xml:space="preserve">Seja</w:t>
      </w:r>
      <w:r>
        <w:t xml:space="preserve"> </w:t>
      </w:r>
      <w:r>
        <w:rPr>
          <w:i/>
          <w:iCs/>
        </w:rPr>
        <w:t xml:space="preserve">i</w:t>
      </w:r>
      <w:r>
        <w:t xml:space="preserve"> </w:t>
      </w:r>
      <w:r>
        <w:t xml:space="preserve">um projeto habilitado,</w:t>
      </w:r>
      <w:r>
        <w:t xml:space="preserve"> </w:t>
      </w:r>
      <w:r>
        <w:rPr>
          <w:i/>
          <w:iCs/>
        </w:rPr>
        <w:t xml:space="preserve">T</w:t>
      </w:r>
      <w:r>
        <w:t xml:space="preserve"> </w:t>
      </w:r>
      <w:r>
        <w:t xml:space="preserve">= 1 se um patrocinador o escolheu e o termo foi validado, e</w:t>
      </w:r>
      <w:r>
        <w:t xml:space="preserve"> </w:t>
      </w:r>
      <w:r>
        <w:rPr>
          <w:i/>
          <w:iCs/>
        </w:rPr>
        <w:t xml:space="preserve">Y</w:t>
      </w:r>
      <w:r>
        <w:t xml:space="preserve"> </w:t>
      </w:r>
      <w:r>
        <w:t xml:space="preserve">= 1 se o projeto se realizou na data prevista no plano de trabalho. Há quatro médias (FOGUEL, 2017, p. 49):</w:t>
      </w:r>
      <w:r>
        <w:t xml:space="preserve"> </w:t>
      </w:r>
      <m:oMath>
        <m:sSub>
          <m:e>
            <m:r>
              <m:t>E</m:t>
            </m:r>
          </m:e>
          <m:sub>
            <m:r>
              <m:t>11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1] e</w:t>
      </w:r>
      <w:r>
        <w:t xml:space="preserve"> </w:t>
      </w:r>
      <m:oMath>
        <m:sSub>
          <m:e>
            <m:r>
              <m:t>E</m:t>
            </m:r>
          </m:e>
          <m:sub>
            <m:r>
              <m:t>00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0] se observam;</w:t>
      </w:r>
      <w:r>
        <w:t xml:space="preserve"> </w:t>
      </w:r>
      <m:oMath>
        <m:sSub>
          <m:e>
            <m:r>
              <m:t>E</m:t>
            </m:r>
          </m:e>
          <m:sub>
            <m:r>
              <m:t>10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1], o que os escolhidos fariam sem a LICC, e</w:t>
      </w:r>
      <w:r>
        <w:t xml:space="preserve"> </w:t>
      </w:r>
      <m:oMath>
        <m:sSub>
          <m:e>
            <m:r>
              <m:t>E</m:t>
            </m:r>
          </m:e>
          <m:sub>
            <m:r>
              <m:t>01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0], o que os preteridos fariam com ela, são contrafactuais. A diferença simples entre quem captou e quem não captou é R =</w:t>
      </w:r>
      <w:r>
        <w:t xml:space="preserve"> </w:t>
      </w:r>
      <m:oMath>
        <m:sSub>
          <m:e>
            <m:r>
              <m:t>E</m:t>
            </m:r>
          </m:e>
          <m:sub>
            <m:r>
              <m:t>11</m:t>
            </m:r>
          </m:sub>
        </m:sSub>
      </m:oMath>
      <w:r>
        <w:t xml:space="preserve"> </w:t>
      </w:r>
      <w:r>
        <w:t xml:space="preserve">−</w:t>
      </w:r>
      <w:r>
        <w:t xml:space="preserve"> </w:t>
      </w:r>
      <m:oMath>
        <m:sSub>
          <m:e>
            <m:r>
              <m:t>E</m:t>
            </m:r>
          </m:e>
          <m:sub>
            <m:r>
              <m:t>00</m:t>
            </m:r>
          </m:sub>
        </m:sSub>
      </m:oMath>
      <w:r>
        <w:t xml:space="preserve"> </w:t>
      </w:r>
      <w:r>
        <w:t xml:space="preserve">= EMPT +</w:t>
      </w:r>
      <w:r>
        <w:t xml:space="preserve"> </w:t>
      </w:r>
      <w:r>
        <w:rPr>
          <w:i/>
          <w:iCs/>
        </w:rPr>
        <w:t xml:space="preserve">V</w:t>
      </w:r>
      <w:r>
        <w:t xml:space="preserve">, em que</w:t>
      </w:r>
      <w:r>
        <w:t xml:space="preserve"> </w:t>
      </w:r>
      <w:r>
        <w:rPr>
          <w:i/>
          <w:iCs/>
        </w:rPr>
        <w:t xml:space="preserve">V</w:t>
      </w:r>
      <w:r>
        <w:t xml:space="preserve"> </w:t>
      </w:r>
      <w:r>
        <w:t xml:space="preserve">=</w:t>
      </w:r>
      <w:r>
        <w:t xml:space="preserve"> </w:t>
      </w:r>
      <m:oMath>
        <m:sSub>
          <m:e>
            <m:r>
              <m:t>E</m:t>
            </m:r>
          </m:e>
          <m:sub>
            <m:r>
              <m:t>10</m:t>
            </m:r>
          </m:sub>
        </m:sSub>
      </m:oMath>
      <w:r>
        <w:t xml:space="preserve"> </w:t>
      </w:r>
      <w:r>
        <w:t xml:space="preserve">−</w:t>
      </w:r>
      <w:r>
        <w:t xml:space="preserve"> </w:t>
      </w:r>
      <m:oMath>
        <m:sSub>
          <m:e>
            <m:r>
              <m:t>E</m:t>
            </m:r>
          </m:e>
          <m:sub>
            <m:r>
              <m:t>00</m:t>
            </m:r>
          </m:sub>
        </m:sSub>
      </m:oMath>
      <w:r>
        <w:t xml:space="preserve"> </w:t>
      </w:r>
      <w:r>
        <w:t xml:space="preserve">é o viés de seleção (FOGUEL, 2017, p. 50). Numa avaliação de programa,</w:t>
      </w:r>
      <w:r>
        <w:t xml:space="preserve"> </w:t>
      </w:r>
      <w:r>
        <w:rPr>
          <w:i/>
          <w:iCs/>
        </w:rPr>
        <w:t xml:space="preserve">V</w:t>
      </w:r>
      <w:r>
        <w:t xml:space="preserve"> </w:t>
      </w:r>
      <w:r>
        <w:t xml:space="preserve">é o erro a eliminar. Aqui ele é o objeto: mede o quanto o mecanismo prefere projetos que aconteceriam de todo modo.</w:t>
      </w:r>
    </w:p>
    <w:p>
      <w:pPr>
        <w:pStyle w:val="BodyText"/>
      </w:pPr>
      <w:r>
        <w:t xml:space="preserve">A hipótese do artigo é</w:t>
      </w:r>
      <w:r>
        <w:t xml:space="preserve"> </w:t>
      </w:r>
      <w:r>
        <w:rPr>
          <w:i/>
          <w:iCs/>
        </w:rPr>
        <w:t xml:space="preserve">V</w:t>
      </w:r>
      <w:r>
        <w:t xml:space="preserve"> </w:t>
      </w:r>
      <w:r>
        <w:t xml:space="preserve">&gt; 0, concentrado nos projetos grandes e recorrentes. Se o recurso realiza os preteridos tanto quanto os escolhidos, um</w:t>
      </w:r>
      <w:r>
        <w:t xml:space="preserve"> </w:t>
      </w:r>
      <w:r>
        <w:rPr>
          <w:i/>
          <w:iCs/>
        </w:rPr>
        <w:t xml:space="preserve">V</w:t>
      </w:r>
      <w:r>
        <w:t xml:space="preserve"> </w:t>
      </w:r>
      <w:r>
        <w:t xml:space="preserve">positivo significa que a LICC financia onde o efeito é menor, e o efeito sobre os não tratados, parâmetro de quem decide expandir um programa (FOGUEL, 2017, p. 47), é o que importa para um teto que mais que dobrou de 2023 a 2026. O mecanismo tampouco registra quantos valorizam um projeto: 152 dos 213 projetos com termo em 2022-2025 (71%), com 68% do valor, têm um só patrocinador (BUTERIN; HITZIG; WEYL, 2019). Duas premissas ficam fora do contrafactual: a regra da CAP (H2) entra pelo filtro que ela aplica, com os inabilitados, e a taxa de serviço (H3) é pergunta normativa (GERTLER</w:t>
      </w:r>
      <w:r>
        <w:t xml:space="preserve"> </w:t>
      </w:r>
      <w:r>
        <w:rPr>
          <w:i/>
          <w:iCs/>
        </w:rPr>
        <w:t xml:space="preserve">et al.</w:t>
      </w:r>
      <w:r>
        <w:t xml:space="preserve">, 2018), respondida pela auditoria das despesas executadas, pedidas por LAI. O Quadro 3 resume os parâmetros.</w:t>
      </w:r>
    </w:p>
    <w:p>
      <w:pPr>
        <w:pStyle w:val="BodyText"/>
        <w:keepNext/>
      </w:pPr>
      <w:r>
        <w:rPr>
          <w:b/>
        </w:rPr>
        <w:t>Quadro 3</w:t>
      </w:r>
      <w:r>
        <w:rPr>
          <w:b w:val="0"/>
        </w:rPr>
        <w:t xml:space="preserve"> – Parâmetros, grupos de comparação e regras de decisão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392"/>
        <w:gridCol w:w="2262"/>
        <w:gridCol w:w="1914"/>
        <w:gridCol w:w="2349"/>
      </w:tblGrid>
      <w:tr>
        <w:trPr>
          <w:tblHeader w:val="on"/>
          <w:tblHeader w:val="true"/>
        </w:trPr>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Grupo que o mede</w:t>
            </w:r>
          </w:p>
        </w:tc>
        <w:tc>
          <w:tcPr>
            <w:tcBorders>
              <w:bottom w:val="single" w:sz="4" w:space="0" w:color="000000"/>
            </w:tcBorders>
          </w:tcPr>
          <w:p>
            <w:pPr>
              <w:pStyle w:val="Compact"/>
              <w:spacing w:after="0" w:before="0"/>
              <w:jc w:val="left"/>
            </w:pPr>
            <w:r>
              <w:rPr>
                <w:sz w:val="20"/>
              </w:rPr>
              <w:t xml:space="preserve">Suposição</w:t>
            </w:r>
          </w:p>
        </w:tc>
        <w:tc>
          <w:tcPr>
            <w:tcBorders>
              <w:bottom w:val="single" w:sz="4" w:space="0" w:color="000000"/>
            </w:tcBorders>
          </w:tcPr>
          <w:p>
            <w:pPr>
              <w:pStyle w:val="Compact"/>
              <w:spacing w:after="0" w:before="0"/>
              <w:jc w:val="left"/>
            </w:pPr>
            <w:r>
              <w:rPr>
                <w:sz w:val="20"/>
              </w:rPr>
              <w:t xml:space="preserve">Conclusão se</w:t>
            </w:r>
          </w:p>
        </w:tc>
      </w:tr>
      <w:tr>
        <w:tc>
          <w:tcPr/>
          <w:p>
            <w:pPr>
              <w:pStyle w:val="Compact"/>
              <w:spacing w:after="0" w:before="0"/>
              <w:jc w:val="left"/>
            </w:pPr>
            <m:oMath>
              <m:sSub>
                <m:e>
                  <m:r>
                    <m:t>θ</m:t>
                  </m:r>
                </m:e>
                <m:sub>
                  <m:r>
                    <m:t>1</m:t>
                  </m:r>
                </m:sub>
              </m:sSub>
            </m:oMath>
            <w:r>
              <w:rPr>
                <w:sz w:val="20"/>
              </w:rPr>
              <w:t xml:space="preserve"> </w:t>
            </w:r>
            <w:r>
              <w:rPr>
                <w:sz w:val="20"/>
              </w:rPr>
              <w:t xml:space="preserve">≈</w:t>
            </w:r>
            <w:r>
              <w:rPr>
                <w:sz w:val="20"/>
              </w:rPr>
              <w:t xml:space="preserve"> </w:t>
            </w:r>
            <m:oMath>
              <m:sSub>
                <m:e>
                  <m:r>
                    <m:t>E</m:t>
                  </m:r>
                </m:e>
                <m:sub>
                  <m:r>
                    <m:t>10</m:t>
                  </m:r>
                </m:sub>
              </m:sSub>
            </m:oMath>
            <w:r>
              <w:rPr>
                <w:sz w:val="20"/>
              </w:rPr>
              <w:t xml:space="preserve">: o que os escolhidos fariam sem a LICC</w:t>
            </w:r>
          </w:p>
        </w:tc>
        <w:tc>
          <w:tcPr/>
          <w:p>
            <w:pPr>
              <w:pStyle w:val="Compact"/>
              <w:spacing w:after="0" w:before="0"/>
              <w:jc w:val="left"/>
            </w:pPr>
            <w:r>
              <w:rPr>
                <w:sz w:val="20"/>
              </w:rPr>
              <w:t xml:space="preserve">Termos recusados por esgotamento da cota, que tinham patrocinador</w:t>
            </w:r>
          </w:p>
        </w:tc>
        <w:tc>
          <w:tcPr/>
          <w:p>
            <w:pPr>
              <w:pStyle w:val="Compact"/>
              <w:spacing w:after="0" w:before="0"/>
              <w:jc w:val="left"/>
            </w:pPr>
            <w:r>
              <w:rPr>
                <w:sz w:val="20"/>
              </w:rPr>
              <w:t xml:space="preserve">A recusa depende só da hora do protocolo</w:t>
            </w:r>
          </w:p>
        </w:tc>
        <w:tc>
          <w:tcPr/>
          <w:p>
            <w:pPr>
              <w:pStyle w:val="Compact"/>
              <w:spacing w:after="0" w:before="0"/>
              <w:jc w:val="left"/>
            </w:pPr>
            <w:r>
              <w:rPr>
                <w:sz w:val="20"/>
              </w:rPr>
              <w:t xml:space="preserve">—</w:t>
            </w:r>
          </w:p>
        </w:tc>
      </w:tr>
      <w:tr>
        <w:tc>
          <w:tcPr/>
          <w:p>
            <w:pPr>
              <w:pStyle w:val="Compact"/>
              <w:spacing w:after="0" w:before="0"/>
              <w:jc w:val="left"/>
            </w:pPr>
            <m:oMath>
              <m:sSub>
                <m:e>
                  <m:r>
                    <m:t>θ</m:t>
                  </m:r>
                </m:e>
                <m:sub>
                  <m:r>
                    <m:t>0</m:t>
                  </m:r>
                </m:sub>
              </m:sSub>
            </m:oMath>
            <w:r>
              <w:rPr>
                <w:sz w:val="20"/>
              </w:rPr>
              <w:t xml:space="preserve"> </w:t>
            </w:r>
            <w:r>
              <w:rPr>
                <w:sz w:val="20"/>
              </w:rPr>
              <w:t xml:space="preserve">=</w:t>
            </w:r>
            <w:r>
              <w:rPr>
                <w:sz w:val="20"/>
              </w:rPr>
              <w:t xml:space="preserve"> </w:t>
            </w:r>
            <m:oMath>
              <m:sSub>
                <m:e>
                  <m:r>
                    <m:t>E</m:t>
                  </m:r>
                </m:e>
                <m:sub>
                  <m:r>
                    <m:t>00</m:t>
                  </m:r>
                </m:sub>
              </m:sSub>
            </m:oMath>
            <w:r>
              <w:rPr>
                <w:sz w:val="20"/>
              </w:rPr>
              <w:t xml:space="preserve">: o que os preteridos fazem sem a LICC</w:t>
            </w:r>
          </w:p>
        </w:tc>
        <w:tc>
          <w:tcPr/>
          <w:p>
            <w:pPr>
              <w:pStyle w:val="Compact"/>
              <w:spacing w:after="0" w:before="0"/>
              <w:jc w:val="left"/>
            </w:pPr>
            <w:r>
              <w:rPr>
                <w:sz w:val="20"/>
              </w:rPr>
              <w:t xml:space="preserve">Habilitados cuja captação expirou</w:t>
            </w:r>
          </w:p>
        </w:tc>
        <w:tc>
          <w:tcPr/>
          <w:p>
            <w:pPr>
              <w:pStyle w:val="Compact"/>
              <w:spacing w:after="0" w:before="0"/>
              <w:jc w:val="left"/>
            </w:pPr>
            <w:r>
              <w:rPr>
                <w:sz w:val="20"/>
              </w:rPr>
              <w:t xml:space="preserve">Nenhuma: observável</w:t>
            </w:r>
          </w:p>
        </w:tc>
        <w:tc>
          <w:tcPr/>
          <w:p>
            <w:pPr>
              <w:pStyle w:val="Compact"/>
              <w:spacing w:after="0" w:before="0"/>
              <w:jc w:val="left"/>
            </w:pPr>
            <w:r>
              <w:rPr>
                <w:sz w:val="20"/>
              </w:rPr>
              <w:t xml:space="preserve">—</w:t>
            </w:r>
          </w:p>
        </w:tc>
      </w:tr>
      <w:tr>
        <w:tc>
          <w:tcPr/>
          <w:p>
            <w:pPr>
              <w:pStyle w:val="Compact"/>
              <w:spacing w:after="0" w:before="0"/>
              <w:jc w:val="left"/>
            </w:pPr>
            <w:r>
              <w:rPr>
                <w:i/>
                <w:iCs/>
                <w:sz w:val="20"/>
              </w:rPr>
              <w:t xml:space="preserve">V</w:t>
            </w:r>
            <w:r>
              <w:rPr>
                <w:sz w:val="20"/>
              </w:rPr>
              <w:t xml:space="preserve"> </w:t>
            </w:r>
            <w:r>
              <w:rPr>
                <w:sz w:val="20"/>
              </w:rPr>
              <w:t xml:space="preserve">=</w:t>
            </w:r>
            <w:r>
              <w:rPr>
                <w:sz w:val="20"/>
              </w:rPr>
              <w:t xml:space="preserve"> </w:t>
            </w:r>
            <m:oMath>
              <m:sSub>
                <m:e>
                  <m:r>
                    <m:t>θ</m:t>
                  </m:r>
                </m:e>
                <m:sub>
                  <m:r>
                    <m:t>1</m:t>
                  </m:r>
                </m:sub>
              </m:sSub>
            </m:oMath>
            <w:r>
              <w:rPr>
                <w:sz w:val="20"/>
              </w:rPr>
              <w:t xml:space="preserve"> </w:t>
            </w:r>
            <w:r>
              <w:rPr>
                <w:sz w:val="20"/>
              </w:rPr>
              <w:t xml:space="preserve">−</w:t>
            </w:r>
            <w:r>
              <w:rPr>
                <w:sz w:val="20"/>
              </w:rPr>
              <w:t xml:space="preserve"> </w:t>
            </w:r>
            <m:oMath>
              <m:sSub>
                <m:e>
                  <m:r>
                    <m:t>θ</m:t>
                  </m:r>
                </m:e>
                <m:sub>
                  <m:r>
                    <m:t>0</m:t>
                  </m:r>
                </m:sub>
              </m:sSub>
            </m:oMath>
            <w:r>
              <w:rPr>
                <w:sz w:val="20"/>
              </w:rPr>
              <w:t xml:space="preserve"> </w:t>
            </w:r>
            <w:r>
              <w:rPr>
                <w:sz w:val="20"/>
              </w:rPr>
              <w:t xml:space="preserve">(H1, H4)</w:t>
            </w:r>
          </w:p>
        </w:tc>
        <w:tc>
          <w:tcPr/>
          <w:p>
            <w:pPr>
              <w:pStyle w:val="Compact"/>
              <w:spacing w:after="0" w:before="0"/>
              <w:jc w:val="left"/>
            </w:pPr>
            <w:r>
              <w:rPr>
                <w:sz w:val="20"/>
              </w:rPr>
              <w:t xml:space="preserve">Recusados × expirados, por faixa de valor</w:t>
            </w:r>
          </w:p>
        </w:tc>
        <w:tc>
          <w:tcPr/>
          <w:p>
            <w:pPr>
              <w:pStyle w:val="Compact"/>
              <w:spacing w:after="0" w:before="0"/>
              <w:jc w:val="left"/>
            </w:pPr>
            <w:r>
              <w:rPr>
                <w:sz w:val="20"/>
              </w:rPr>
              <w:t xml:space="preserve">As duas acima</w:t>
            </w:r>
          </w:p>
        </w:tc>
        <w:tc>
          <w:tcPr/>
          <w:p>
            <w:pPr>
              <w:pStyle w:val="Compact"/>
              <w:spacing w:after="0" w:before="0"/>
              <w:jc w:val="left"/>
            </w:pPr>
            <w:r>
              <w:rPr>
                <w:i/>
                <w:iCs/>
                <w:sz w:val="20"/>
              </w:rPr>
              <w:t xml:space="preserve">V</w:t>
            </w:r>
            <w:r>
              <w:rPr>
                <w:sz w:val="20"/>
              </w:rPr>
              <w:t xml:space="preserve"> </w:t>
            </w:r>
            <w:r>
              <w:rPr>
                <w:sz w:val="20"/>
              </w:rPr>
              <w:t xml:space="preserve">&gt; 0, maior nos pedidos grandes: a renúncia vai a quem menos depende dela</w:t>
            </w:r>
          </w:p>
        </w:tc>
      </w:tr>
      <w:tr>
        <w:tc>
          <w:tcPr/>
          <w:p>
            <w:pPr>
              <w:pStyle w:val="Compact"/>
              <w:spacing w:after="0" w:before="0"/>
              <w:jc w:val="left"/>
            </w:pPr>
            <w:r>
              <w:rPr>
                <w:sz w:val="20"/>
              </w:rPr>
              <w:t xml:space="preserve">EMPT na margem =</w:t>
            </w:r>
            <w:r>
              <w:rPr>
                <w:sz w:val="20"/>
              </w:rPr>
              <w:t xml:space="preserve"> </w:t>
            </w:r>
            <m:oMath>
              <m:sSub>
                <m:e>
                  <m:r>
                    <m:t>E</m:t>
                  </m:r>
                </m:e>
                <m:sub>
                  <m:r>
                    <m:t>11</m:t>
                  </m:r>
                </m:sub>
              </m:sSub>
            </m:oMath>
            <w:r>
              <w:rPr>
                <w:sz w:val="20"/>
              </w:rPr>
              <w:t xml:space="preserve"> </w:t>
            </w:r>
            <w:r>
              <w:rPr>
                <w:sz w:val="20"/>
              </w:rPr>
              <w:t xml:space="preserve">−</w:t>
            </w:r>
            <w:r>
              <w:rPr>
                <w:sz w:val="20"/>
              </w:rPr>
              <w:t xml:space="preserve"> </w:t>
            </w:r>
            <m:oMath>
              <m:sSub>
                <m:e>
                  <m:r>
                    <m:t>θ</m:t>
                  </m:r>
                </m:e>
                <m:sub>
                  <m:r>
                    <m:t>1</m:t>
                  </m:r>
                </m:sub>
              </m:sSub>
            </m:oMath>
            <w:r>
              <w:rPr>
                <w:sz w:val="20"/>
              </w:rPr>
              <w:t xml:space="preserve"> </w:t>
            </w:r>
            <w:r>
              <w:rPr>
                <w:sz w:val="20"/>
              </w:rPr>
              <w:t xml:space="preserve">(H5)</w:t>
            </w:r>
          </w:p>
        </w:tc>
        <w:tc>
          <w:tcPr/>
          <w:p>
            <w:pPr>
              <w:pStyle w:val="Compact"/>
              <w:spacing w:after="0" w:before="0"/>
              <w:jc w:val="left"/>
            </w:pPr>
            <w:r>
              <w:rPr>
                <w:sz w:val="20"/>
              </w:rPr>
              <w:t xml:space="preserve">Últimos validados de cada cota × recusados</w:t>
            </w:r>
          </w:p>
        </w:tc>
        <w:tc>
          <w:tcPr/>
          <w:p>
            <w:pPr>
              <w:pStyle w:val="Compact"/>
              <w:spacing w:after="0" w:before="0"/>
              <w:jc w:val="left"/>
            </w:pPr>
            <w:r>
              <w:rPr>
                <w:sz w:val="20"/>
              </w:rPr>
              <w:t xml:space="preserve">Idem</w:t>
            </w:r>
          </w:p>
        </w:tc>
        <w:tc>
          <w:tcPr/>
          <w:p>
            <w:pPr>
              <w:pStyle w:val="Compact"/>
              <w:spacing w:after="0" w:before="0"/>
              <w:jc w:val="left"/>
            </w:pPr>
            <w:r>
              <w:rPr>
                <w:sz w:val="20"/>
              </w:rPr>
              <w:t xml:space="preserve">EMPT próximo de zero: ampliar o teto financia o que ocorreria de todo modo</w:t>
            </w:r>
          </w:p>
        </w:tc>
      </w:tr>
      <w:tr>
        <w:tc>
          <w:tcPr/>
          <w:p>
            <w:pPr>
              <w:pStyle w:val="Compact"/>
              <w:spacing w:after="0" w:before="0"/>
              <w:jc w:val="left"/>
            </w:pPr>
            <w:r>
              <w:rPr>
                <w:sz w:val="20"/>
              </w:rPr>
              <w:t xml:space="preserve">Filtro da CAP (H2)</w:t>
            </w:r>
          </w:p>
        </w:tc>
        <w:tc>
          <w:tcPr/>
          <w:p>
            <w:pPr>
              <w:pStyle w:val="Compact"/>
              <w:spacing w:after="0" w:before="0"/>
              <w:jc w:val="left"/>
            </w:pPr>
            <w:r>
              <w:rPr>
                <w:sz w:val="20"/>
              </w:rPr>
              <w:t xml:space="preserve">Expirados × inabilitados</w:t>
            </w:r>
          </w:p>
        </w:tc>
        <w:tc>
          <w:tcPr/>
          <w:p>
            <w:pPr>
              <w:pStyle w:val="Compact"/>
              <w:spacing w:after="0" w:before="0"/>
              <w:jc w:val="left"/>
            </w:pPr>
            <w:r>
              <w:rPr>
                <w:sz w:val="20"/>
              </w:rPr>
              <w:t xml:space="preserve">Inabilitados sem patrocínio pela LICC</w:t>
            </w:r>
          </w:p>
        </w:tc>
        <w:tc>
          <w:tcPr/>
          <w:p>
            <w:pPr>
              <w:pStyle w:val="Compact"/>
              <w:spacing w:after="0" w:before="0"/>
              <w:jc w:val="left"/>
            </w:pPr>
            <w:r>
              <w:rPr>
                <w:sz w:val="20"/>
              </w:rPr>
              <w:t xml:space="preserve">Mesma realização: o filtro não separa necessidade de financiamento</w:t>
            </w:r>
          </w:p>
        </w:tc>
      </w:tr>
      <w:tr>
        <w:tc>
          <w:tcPr/>
          <w:p>
            <w:pPr>
              <w:pStyle w:val="Compact"/>
              <w:spacing w:after="0" w:before="0"/>
              <w:jc w:val="left"/>
            </w:pPr>
            <w:r>
              <w:rPr>
                <w:sz w:val="20"/>
              </w:rPr>
              <w:t xml:space="preserve">Substituição (lado da empresa)</w:t>
            </w:r>
          </w:p>
        </w:tc>
        <w:tc>
          <w:tcPr/>
          <w:p>
            <w:pPr>
              <w:pStyle w:val="Compact"/>
              <w:spacing w:after="0" w:before="0"/>
              <w:jc w:val="left"/>
            </w:pPr>
            <w:r>
              <w:rPr>
                <w:sz w:val="20"/>
              </w:rPr>
              <w:t xml:space="preserve">Recusados pagos pelo mesmo patrocinador fora da LICC</w:t>
            </w:r>
          </w:p>
        </w:tc>
        <w:tc>
          <w:tcPr/>
          <w:p>
            <w:pPr>
              <w:pStyle w:val="Compact"/>
              <w:spacing w:after="0" w:before="0"/>
              <w:jc w:val="left"/>
            </w:pPr>
            <w:r>
              <w:rPr>
                <w:sz w:val="20"/>
              </w:rPr>
              <w:t xml:space="preserve">Resposta do patrocinador</w:t>
            </w:r>
          </w:p>
        </w:tc>
        <w:tc>
          <w:tcPr/>
          <w:p>
            <w:pPr>
              <w:pStyle w:val="Compact"/>
              <w:spacing w:after="0" w:before="0"/>
              <w:jc w:val="left"/>
            </w:pPr>
            <w:r>
              <w:rPr>
                <w:sz w:val="20"/>
              </w:rPr>
              <w:t xml:space="preserve">Fração alta: o crédito paga patrocínio que ocorreria sem ele</w:t>
            </w:r>
          </w:p>
        </w:tc>
      </w:tr>
    </w:tbl>
    <w:p>
      <w:pPr>
        <w:pStyle w:val="BodyText"/>
      </w:pPr>
      <w:r>
        <w:rPr>
          <w:i/>
          <w:sz w:val="20"/>
        </w:rPr>
        <w:t>Fonte</w:t>
      </w:r>
      <w:r>
        <w:rPr>
          <w:sz w:val="20"/>
        </w:rPr>
        <w:t>: elaboração própria, com base em Foguel (2017) e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de-identificação"/>
    <w:p>
      <w:pPr>
        <w:pStyle w:val="Heading2"/>
      </w:pPr>
      <w:r>
        <w:t xml:space="preserve">5.2 Estratégia de identificação</w:t>
      </w:r>
    </w:p>
    <w:p>
      <w:pPr>
        <w:pStyle w:val="FirstParagraph"/>
      </w:pPr>
      <w:r>
        <w:t xml:space="preserve">Nenhum grupo precisa ser criado: a regra atual já os produz, e falta acompanhá-los. O contraste central é</w:t>
      </w:r>
      <w:r>
        <w:t xml:space="preserve">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 Os termos recusados por esgotamento da cota tinham patrocinador, ou seja, foram escolhidos, e ficaram de fora pela hora em que chegaram: sua realização estima</w:t>
      </w:r>
      <w:r>
        <w:t xml:space="preserve"> </w:t>
      </w:r>
      <m:oMath>
        <m:sSub>
          <m:e>
            <m:r>
              <m:t>E</m:t>
            </m:r>
          </m:e>
          <m:sub>
            <m:r>
              <m:t>10</m:t>
            </m:r>
          </m:sub>
        </m:sSub>
      </m:oMath>
      <w:r>
        <w:t xml:space="preserve"> </w:t>
      </w:r>
      <w:r>
        <w:t xml:space="preserve">para os escolhidos na margem da fila. Os expirados, que nenhuma empresa escolheu, dão</w:t>
      </w:r>
      <w:r>
        <w:t xml:space="preserve"> </w:t>
      </w:r>
      <m:oMath>
        <m:sSub>
          <m:e>
            <m:r>
              <m:t>E</m:t>
            </m:r>
          </m:e>
          <m:sub>
            <m:r>
              <m:t>00</m:t>
            </m:r>
          </m:sub>
        </m:sSub>
      </m:oMath>
      <w:r>
        <w:t xml:space="preserve">. A comparação vale se, entre os escolhidos, a posição na fila não depende do que determina a realização, o que as horas de protocolo e validação (LAI) permitem testar, comparando recusados e últimos validados em valor, antiguidade do evento e recorrência. Entre os ciclos 2022 e 2024, a captação dos pedidos até R$ 400 mil caiu de 79% para 27%, e a dos maiores, de 90% para 73%: a seleção cresceu entre os pequenos, o que pede estimar</w:t>
      </w:r>
      <w:r>
        <w:t xml:space="preserve"> </w:t>
      </w:r>
      <w:r>
        <w:rPr>
          <w:i/>
          <w:iCs/>
        </w:rPr>
        <w:t xml:space="preserve">V</w:t>
      </w:r>
      <w:r>
        <w:t xml:space="preserve"> </w:t>
      </w:r>
      <w:r>
        <w:t xml:space="preserve">por faixa de valor. O estimador é a diferença de proporções num modelo de probabilidade linear com efeitos fixos de ciclo e faixa de valor e erro-padrão robusto.</w:t>
      </w:r>
    </w:p>
    <w:p>
      <w:pPr>
        <w:pStyle w:val="BodyText"/>
      </w:pPr>
      <w:r>
        <w:t xml:space="preserve">O efeito na margem compara os últimos validados de cada cota com os recusados. É o efeito de receber agora, que já inclui o financiamento que o recusado obtém depois, sem precisar de instrumento, e vale para a margem da fila, não para a média dos escolhidos. Em 2024, das 47 recusas registradas nas versões sucessivas do anexo, 27 viraram validação quando o teto passou de R$ 15 para R$ 25 milhões; a comparação com as 20 que não viraram dá uma segunda margem, sob a condição, a conferir com as datas, de que a conversão tenha seguido a ordem da fila. O filtro da CAP compara os expirados com os 86 inabilitados das atas. Do lado da empresa, a fração dos recusados que o mesmo patrocinador pagou fora da LICC mede o quanto o crédito substitui patrocínio próprio, o segundo risco da teoria da mudança.</w:t>
      </w:r>
    </w:p>
    <w:bookmarkEnd w:id="26"/>
    <w:bookmarkStart w:id="27" w:name="desenho-da-amostra-e-fontes-de-dados"/>
    <w:p>
      <w:pPr>
        <w:pStyle w:val="Heading2"/>
      </w:pPr>
      <w:r>
        <w:t xml:space="preserve">5.3 Desenho da amostra e fontes de dados</w:t>
      </w:r>
    </w:p>
    <w:p>
      <w:pPr>
        <w:pStyle w:val="FirstParagraph"/>
      </w:pPr>
      <w:r>
        <w:t xml:space="preserve">A amostra é o universo de cada grupo, sem sorteio: os 32 projetos recusados em 2023 e 2024, os 95 habilitados de 2022-2024 cuja captação expirou, os 86 inabilitados das atas da CAP de 2022 a 2026 e, para a margem, os últimos validados de cada cota; os ciclos seguintes somam-se aos mesmos grupos. O resultado precisa ser medido do mesmo modo em todos eles, e o relatório de execução só existe para quem recebeu. Por isso</w:t>
      </w:r>
      <w:r>
        <w:t xml:space="preserve"> </w:t>
      </w:r>
      <w:r>
        <w:rPr>
          <w:i/>
          <w:iCs/>
        </w:rPr>
        <w:t xml:space="preserve">Y</w:t>
      </w:r>
      <w:r>
        <w:t xml:space="preserve"> </w:t>
      </w:r>
      <w:r>
        <w:t xml:space="preserve">vem de uma pesquisa de acompanhamento com os proponentes, conferida em registros que independem da LICC. Esses registros, sozinhos, não bastam: fora da própria LICC, só 2 dos 32 recusados têm registro público do projeto. A chave de ligação é o CNPJ do proponente: o Portal da Transparência o traz para quem captou (ESPÍRITO SANTO, 2026a), e os avisos de habilitação no Diário Oficial, para a maior parte dos demais (DIO-ES, 2026); juntas, cobrem 385 dos 463 habilitados (83%), e o restante e os inabilitados ficam para a LAI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Anexos de habilitados e captados, com as versões antigas</w:t>
            </w:r>
          </w:p>
        </w:tc>
        <w:tc>
          <w:tcPr/>
          <w:p>
            <w:pPr>
              <w:pStyle w:val="Compact"/>
              <w:spacing w:after="0" w:before="0"/>
              <w:jc w:val="left"/>
            </w:pPr>
            <w:r>
              <w:rPr>
                <w:sz w:val="20"/>
              </w:rPr>
              <w:t xml:space="preserve">Status, valor e patrocinador; recusados por esgotamento (2023-2024)</w:t>
            </w:r>
          </w:p>
        </w:tc>
        <w:tc>
          <w:tcPr/>
          <w:p>
            <w:pPr>
              <w:pStyle w:val="Compact"/>
              <w:spacing w:after="0" w:before="0"/>
              <w:jc w:val="left"/>
            </w:pPr>
            <w:r>
              <w:rPr>
                <w:sz w:val="20"/>
              </w:rPr>
              <w:t xml:space="preserve">Grupos</w:t>
            </w:r>
            <w:r>
              <w:rPr>
                <w:sz w:val="20"/>
              </w:rPr>
              <w:t xml:space="preserve"> </w:t>
            </w:r>
            <m:oMath>
              <m:sSub>
                <m:e>
                  <m:r>
                    <m:t>θ</m:t>
                  </m:r>
                </m:e>
                <m:sub>
                  <m:r>
                    <m:t>1</m:t>
                  </m:r>
                </m:sub>
              </m:sSub>
            </m:oMath>
            <w:r>
              <w:rPr>
                <w:sz w:val="20"/>
              </w:rPr>
              <w:t xml:space="preserve"> </w:t>
            </w:r>
            <w:r>
              <w:rPr>
                <w:sz w:val="20"/>
              </w:rPr>
              <w:t xml:space="preserve">e</w:t>
            </w:r>
            <w:r>
              <w:rPr>
                <w:sz w:val="20"/>
              </w:rPr>
              <w:t xml:space="preserve"> </w:t>
            </w:r>
            <m:oMath>
              <m:sSub>
                <m:e>
                  <m:r>
                    <m:t>θ</m:t>
                  </m:r>
                </m:e>
                <m:sub>
                  <m:r>
                    <m:t>0</m:t>
                  </m:r>
                </m:sub>
              </m:sSub>
            </m:oMath>
            <w:r>
              <w:rPr>
                <w:sz w:val="20"/>
              </w:rPr>
              <w:t xml:space="preserve">; margem</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Extratos das atas da CAP</w:t>
            </w:r>
          </w:p>
        </w:tc>
        <w:tc>
          <w:tcPr/>
          <w:p>
            <w:pPr>
              <w:pStyle w:val="Compact"/>
              <w:spacing w:after="0" w:before="0"/>
              <w:jc w:val="left"/>
            </w:pPr>
            <w:r>
              <w:rPr>
                <w:sz w:val="20"/>
              </w:rPr>
              <w:t xml:space="preserve">Inabilitados de 2022 a 2026</w:t>
            </w:r>
          </w:p>
        </w:tc>
        <w:tc>
          <w:tcPr/>
          <w:p>
            <w:pPr>
              <w:pStyle w:val="Compact"/>
              <w:spacing w:after="0" w:before="0"/>
              <w:jc w:val="left"/>
            </w:pPr>
            <w:r>
              <w:rPr>
                <w:sz w:val="20"/>
              </w:rPr>
              <w:t xml:space="preserve">Filtro da CAP</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avisos do Diário Oficial</w:t>
            </w:r>
          </w:p>
        </w:tc>
        <w:tc>
          <w:tcPr/>
          <w:p>
            <w:pPr>
              <w:pStyle w:val="Compact"/>
              <w:spacing w:after="0" w:before="0"/>
              <w:jc w:val="left"/>
            </w:pPr>
            <w:r>
              <w:rPr>
                <w:sz w:val="20"/>
              </w:rPr>
              <w:t xml:space="preserve">Termos com CNPJ de proponente e patrocinador; habilitação e depósitos</w:t>
            </w:r>
          </w:p>
        </w:tc>
        <w:tc>
          <w:tcPr/>
          <w:p>
            <w:pPr>
              <w:pStyle w:val="Compact"/>
              <w:spacing w:after="0" w:before="0"/>
              <w:jc w:val="left"/>
            </w:pPr>
            <w:r>
              <w:rPr>
                <w:sz w:val="20"/>
              </w:rPr>
              <w:t xml:space="preserve">Chave de ligação; captação posterior</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Hora de protocolo e de validação, cota e recusados desde 2025</w:t>
            </w:r>
          </w:p>
        </w:tc>
        <w:tc>
          <w:tcPr/>
          <w:p>
            <w:pPr>
              <w:pStyle w:val="Compact"/>
              <w:spacing w:after="0" w:before="0"/>
              <w:jc w:val="left"/>
            </w:pPr>
            <w:r>
              <w:rPr>
                <w:sz w:val="20"/>
              </w:rPr>
              <w:t xml:space="preserve">Teste da fila; grupos de 2025 em diante</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Pesquisa de acompanhamento</w:t>
            </w:r>
          </w:p>
        </w:tc>
        <w:tc>
          <w:tcPr/>
          <w:p>
            <w:pPr>
              <w:pStyle w:val="Compact"/>
              <w:spacing w:after="0" w:before="0"/>
              <w:jc w:val="left"/>
            </w:pPr>
            <w:r>
              <w:rPr>
                <w:sz w:val="20"/>
              </w:rPr>
              <w:t xml:space="preserve">Realização, data, público e fonte de financiamento de cada projeto; patrocínio fora da LICC</w:t>
            </w:r>
          </w:p>
        </w:tc>
        <w:tc>
          <w:tcPr/>
          <w:p>
            <w:pPr>
              <w:pStyle w:val="Compact"/>
              <w:spacing w:after="0" w:before="0"/>
              <w:jc w:val="left"/>
            </w:pPr>
            <w:r>
              <w:rPr>
                <w:i/>
                <w:iCs/>
                <w:sz w:val="20"/>
              </w:rPr>
              <w:t xml:space="preserve">Y</w:t>
            </w:r>
            <w:r>
              <w:rPr>
                <w:sz w:val="20"/>
              </w:rPr>
              <w:t xml:space="preserve"> </w:t>
            </w:r>
            <w:r>
              <w:rPr>
                <w:sz w:val="20"/>
              </w:rPr>
              <w:t xml:space="preserve">em todos os grupos; substituição</w:t>
            </w:r>
          </w:p>
        </w:tc>
        <w:tc>
          <w:tcPr/>
          <w:p>
            <w:pPr>
              <w:pStyle w:val="Compact"/>
              <w:spacing w:after="0" w:before="0"/>
              <w:jc w:val="left"/>
            </w:pPr>
            <w:r>
              <w:rPr>
                <w:sz w:val="20"/>
              </w:rPr>
              <w:t xml:space="preserve">Coleta</w:t>
            </w:r>
          </w:p>
        </w:tc>
      </w:tr>
      <w:tr>
        <w:tc>
          <w:tcPr/>
          <w:p>
            <w:pPr>
              <w:pStyle w:val="Compact"/>
              <w:spacing w:after="0" w:before="0"/>
              <w:jc w:val="left"/>
            </w:pPr>
            <w:r>
              <w:rPr>
                <w:sz w:val="20"/>
              </w:rPr>
              <w:t xml:space="preserve">SALIC; agenda do Mapa Cultural; relatórios de execução</w:t>
            </w:r>
          </w:p>
        </w:tc>
        <w:tc>
          <w:tcPr/>
          <w:p>
            <w:pPr>
              <w:pStyle w:val="Compact"/>
              <w:spacing w:after="0" w:before="0"/>
              <w:jc w:val="left"/>
            </w:pPr>
            <w:r>
              <w:rPr>
                <w:sz w:val="20"/>
              </w:rPr>
              <w:t xml:space="preserve">Captação pela Lei Rouanet; eventos datados; realização e público dos financiados</w:t>
            </w:r>
          </w:p>
        </w:tc>
        <w:tc>
          <w:tcPr/>
          <w:p>
            <w:pPr>
              <w:pStyle w:val="Compact"/>
              <w:spacing w:after="0" w:before="0"/>
              <w:jc w:val="left"/>
            </w:pPr>
            <w:r>
              <w:rPr>
                <w:sz w:val="20"/>
              </w:rPr>
              <w:t xml:space="preserve">Conferência de</w:t>
            </w:r>
            <w:r>
              <w:rPr>
                <w:sz w:val="20"/>
              </w:rPr>
              <w:t xml:space="preserve"> </w:t>
            </w:r>
            <w:r>
              <w:rPr>
                <w:i/>
                <w:iCs/>
                <w:sz w:val="20"/>
              </w:rPr>
              <w:t xml:space="preserve">Y</w:t>
            </w:r>
          </w:p>
        </w:tc>
        <w:tc>
          <w:tcPr/>
          <w:p>
            <w:pPr>
              <w:pStyle w:val="Compact"/>
              <w:spacing w:after="0" w:before="0"/>
              <w:jc w:val="left"/>
            </w:pPr>
            <w:r>
              <w:rPr>
                <w:sz w:val="20"/>
              </w:rPr>
              <w:t xml:space="preserve">Público; LAI</w:t>
            </w:r>
          </w:p>
        </w:tc>
      </w:tr>
    </w:tbl>
    <w:p>
      <w:pPr>
        <w:pStyle w:val="BodyText"/>
      </w:pPr>
      <w:r>
        <w:rPr>
          <w:i/>
          <w:sz w:val="20"/>
        </w:rPr>
        <w:t>Fonte</w:t>
      </w:r>
      <w:r>
        <w:rPr>
          <w:sz w:val="20"/>
        </w:rPr>
        <w:t>: elaboração própria.</w:t>
      </w:r>
    </w:p>
    <w:bookmarkEnd w:id="27"/>
    <w:bookmarkStart w:id="29" w:name="cálculo-do-poder-estatístico"/>
    <w:p>
      <w:pPr>
        <w:pStyle w:val="Heading2"/>
      </w:pPr>
      <w:r>
        <w:t xml:space="preserve">5.4 Cálculo do poder estatístico</w:t>
      </w:r>
    </w:p>
    <w:p>
      <w:pPr>
        <w:pStyle w:val="FirstParagraph"/>
      </w:pPr>
      <w:r>
        <w:t xml:space="preserve">Para comparar a proporção de projetos realizados entre dois grupos independentes,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sSub>
                <m:e>
                  <m:r>
                    <m:t>p</m:t>
                  </m:r>
                </m:e>
                <m:sub>
                  <m:r>
                    <m:t>0</m:t>
                  </m:r>
                </m:sub>
              </m:sSub>
              <m:r>
                <m:rPr>
                  <m:sty m:val="p"/>
                </m:rPr>
                <m:t>(</m:t>
              </m:r>
              <m:r>
                <m:t>1</m:t>
              </m:r>
              <m:r>
                <m:rPr>
                  <m:sty m:val="p"/>
                </m:rPr>
                <m:t>−</m:t>
              </m:r>
              <m:sSub>
                <m:e>
                  <m:r>
                    <m:t>p</m:t>
                  </m:r>
                </m:e>
                <m:sub>
                  <m:r>
                    <m:t>0</m:t>
                  </m:r>
                </m:sub>
              </m:sSub>
              <m:r>
                <m:rPr>
                  <m:sty m:val="p"/>
                </m:rPr>
                <m:t>)</m:t>
              </m:r>
              <m:d>
                <m:dPr>
                  <m:begChr m:val="("/>
                  <m:sepChr m:val=""/>
                  <m:endChr m:val=")"/>
                  <m:grow/>
                </m:dPr>
                <m:e>
                  <m:f>
                    <m:fPr>
                      <m:type m:val="bar"/>
                    </m:fPr>
                    <m:num>
                      <m:r>
                        <m:t>1</m:t>
                      </m:r>
                    </m:num>
                    <m:den>
                      <m:sSub>
                        <m:e>
                          <m:r>
                            <m:t>n</m:t>
                          </m:r>
                        </m:e>
                        <m:sub>
                          <m:r>
                            <m:t>1</m:t>
                          </m:r>
                        </m:sub>
                      </m:sSub>
                    </m:den>
                  </m:f>
                  <m:r>
                    <m:rPr>
                      <m:sty m:val="p"/>
                    </m:rPr>
                    <m:t>+</m:t>
                  </m:r>
                  <m:f>
                    <m:fPr>
                      <m:type m:val="bar"/>
                    </m:fPr>
                    <m:num>
                      <m:r>
                        <m:t>1</m:t>
                      </m:r>
                    </m:num>
                    <m:den>
                      <m:sSub>
                        <m:e>
                          <m:r>
                            <m:t>n</m:t>
                          </m:r>
                        </m:e>
                        <m:sub>
                          <m:r>
                            <m:t>0</m:t>
                          </m:r>
                        </m:sub>
                      </m:sSub>
                    </m:den>
                  </m:f>
                </m:e>
              </m:d>
            </m:e>
          </m:rad>
          <m:r>
            <m:rPr>
              <m:sty m:val="p"/>
            </m:rPr>
            <m:t>.</m:t>
          </m:r>
        </m:oMath>
      </m:oMathPara>
    </w:p>
    <w:p>
      <w:pPr>
        <w:pStyle w:val="FirstParagraph"/>
      </w:pPr>
      <w:r>
        <w:t xml:space="preserve">A fórmula segue Djimeu e Houndolo (2016), com α = 5% bicaudal e poder de 80%. Nela,</w:t>
      </w:r>
      <w:r>
        <w:t xml:space="preserve"> </w:t>
      </w:r>
      <m:oMath>
        <m:sSub>
          <m:e>
            <m:r>
              <m:t>n</m:t>
            </m:r>
          </m:e>
          <m:sub>
            <m:r>
              <m:t>1</m:t>
            </m:r>
          </m:sub>
        </m:sSub>
      </m:oMath>
      <w:r>
        <w:t xml:space="preserve"> </w:t>
      </w:r>
      <w:r>
        <w:t xml:space="preserve">e</w:t>
      </w:r>
      <w:r>
        <w:t xml:space="preserve"> </w:t>
      </w:r>
      <m:oMath>
        <m:sSub>
          <m:e>
            <m:r>
              <m:t>n</m:t>
            </m:r>
          </m:e>
          <m:sub>
            <m:r>
              <m:t>0</m:t>
            </m:r>
          </m:sub>
        </m:sSub>
      </m:oMath>
      <w:r>
        <w:t xml:space="preserve"> </w:t>
      </w:r>
      <w:r>
        <w:t xml:space="preserve">são os tamanhos dos grupos e</w:t>
      </w:r>
      <w:r>
        <w:t xml:space="preserve"> </w:t>
      </w:r>
      <m:oMath>
        <m:sSub>
          <m:e>
            <m:r>
              <m:t>p</m:t>
            </m:r>
          </m:e>
          <m:sub>
            <m:r>
              <m:t>0</m:t>
            </m:r>
          </m:sub>
        </m:sSub>
      </m:oMath>
      <w:r>
        <w:t xml:space="preserve"> </w:t>
      </w:r>
      <w:r>
        <w:t xml:space="preserve">a proporção de realizados, ainda não medida, tomada de 0,3 a 0,7.</w:t>
      </w:r>
    </w:p>
    <w:p>
      <w:pPr>
        <w:pStyle w:val="BodyText"/>
        <w:keepNext/>
      </w:pPr>
      <m:oMath>
        <m:sSub>
          <m:e>
            <m:r>
              <m:t>p</m:t>
            </m:r>
          </m:e>
          <m:sub>
            <m:r>
              <m:t>0</m:t>
            </m:r>
          </m:sub>
        </m:sSub>
      </m:oMath>
      <w:r>
        <w:rPr>
          <w:b/>
        </w:rPr>
        <w:t>Tabela 2</w:t>
      </w:r>
      <w:r>
        <w:rPr>
          <w:b w:val="0"/>
        </w:rPr>
        <w:t xml:space="preserve"> – Efeito mínimo detectável por contraste (pontos percentuais;  de 0,3 a 0,7)</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926"/>
        <w:gridCol w:w="2496"/>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Contraste</w:t>
            </w:r>
          </w:p>
        </w:tc>
        <w:tc>
          <w:tcPr>
            <w:tcBorders>
              <w:bottom w:val="single" w:sz="4" w:space="0" w:color="000000"/>
            </w:tcBorders>
          </w:tcPr>
          <w:p>
            <w:pPr>
              <w:pStyle w:val="Compact"/>
              <w:keepNext/>
              <w:spacing w:after="0" w:before="0"/>
              <w:jc w:val="left"/>
            </w:pPr>
            <w:r>
              <w:rPr>
                <w:sz w:val="20"/>
              </w:rPr>
              <w:t xml:space="preserve">Grupos</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i/>
                <w:iCs/>
                <w:sz w:val="20"/>
              </w:rPr>
              <w:t xml:space="preserve">V</w:t>
            </w:r>
            <w:r>
              <w:rPr>
                <w:sz w:val="20"/>
              </w:rPr>
              <w:t xml:space="preserve">: recusados × expirados</w:t>
            </w:r>
          </w:p>
        </w:tc>
        <w:tc>
          <w:tcPr/>
          <w:p>
            <w:pPr>
              <w:pStyle w:val="Compact"/>
              <w:keepNext/>
              <w:spacing w:after="0" w:before="0"/>
              <w:jc w:val="left"/>
            </w:pPr>
            <w:r>
              <w:rPr>
                <w:sz w:val="20"/>
              </w:rPr>
              <w:t xml:space="preserve">recusados de 2023-2024; expirados de 2022-2024</w:t>
            </w:r>
          </w:p>
        </w:tc>
        <w:tc>
          <w:tcPr/>
          <w:p>
            <w:pPr>
              <w:pStyle w:val="Compact"/>
              <w:keepNext/>
              <w:spacing w:after="0" w:before="0"/>
              <w:jc w:val="left"/>
            </w:pPr>
            <w:r>
              <w:rPr>
                <w:sz w:val="20"/>
              </w:rPr>
              <w:t xml:space="preserve">32 × 95</w:t>
            </w:r>
          </w:p>
        </w:tc>
        <w:tc>
          <w:tcPr/>
          <w:p>
            <w:pPr>
              <w:pStyle w:val="Compact"/>
              <w:keepNext/>
              <w:spacing w:after="0" w:before="0"/>
              <w:jc w:val="left"/>
            </w:pPr>
            <w:r>
              <w:rPr>
                <w:sz w:val="20"/>
              </w:rPr>
              <w:t xml:space="preserve">26 a 29</w:t>
            </w:r>
          </w:p>
        </w:tc>
      </w:tr>
      <w:tr>
        <w:tc>
          <w:tcPr/>
          <w:p>
            <w:pPr>
              <w:pStyle w:val="Compact"/>
              <w:keepNext/>
              <w:spacing w:after="0" w:before="0"/>
              <w:jc w:val="left"/>
            </w:pPr>
            <m:oMath>
              <m:sSub>
                <m:e>
                  <m:r>
                    <m:t>θ</m:t>
                  </m:r>
                </m:e>
                <m:sub>
                  <m:r>
                    <m:t>0</m:t>
                  </m:r>
                </m:sub>
              </m:sSub>
            </m:oMath>
            <w:r>
              <w:rPr>
                <w:sz w:val="20"/>
              </w:rPr>
              <w:t xml:space="preserve"> </w:t>
            </w:r>
            <w:r>
              <w:rPr>
                <w:sz w:val="20"/>
              </w:rPr>
              <w:t xml:space="preserve">por faixa de valor</w:t>
            </w:r>
          </w:p>
        </w:tc>
        <w:tc>
          <w:tcPr/>
          <w:p>
            <w:pPr>
              <w:pStyle w:val="Compact"/>
              <w:keepNext/>
              <w:spacing w:after="0" w:before="0"/>
              <w:jc w:val="left"/>
            </w:pPr>
            <w:r>
              <w:rPr>
                <w:sz w:val="20"/>
              </w:rPr>
              <w:t xml:space="preserve">expirados até R$ 400 mil × acima</w:t>
            </w:r>
          </w:p>
        </w:tc>
        <w:tc>
          <w:tcPr/>
          <w:p>
            <w:pPr>
              <w:pStyle w:val="Compact"/>
              <w:keepNext/>
              <w:spacing w:after="0" w:before="0"/>
              <w:jc w:val="left"/>
            </w:pPr>
            <w:r>
              <w:rPr>
                <w:sz w:val="20"/>
              </w:rPr>
              <w:t xml:space="preserve">58 × 37</w:t>
            </w:r>
          </w:p>
        </w:tc>
        <w:tc>
          <w:tcPr/>
          <w:p>
            <w:pPr>
              <w:pStyle w:val="Compact"/>
              <w:keepNext/>
              <w:spacing w:after="0" w:before="0"/>
              <w:jc w:val="left"/>
            </w:pPr>
            <w:r>
              <w:rPr>
                <w:sz w:val="20"/>
              </w:rPr>
              <w:t xml:space="preserve">27 a 29</w:t>
            </w:r>
          </w:p>
        </w:tc>
      </w:tr>
      <w:tr>
        <w:tc>
          <w:tcPr/>
          <w:p>
            <w:pPr>
              <w:pStyle w:val="Compact"/>
              <w:keepNext/>
              <w:spacing w:after="0" w:before="0"/>
              <w:jc w:val="left"/>
            </w:pPr>
            <w:r>
              <w:rPr>
                <w:sz w:val="20"/>
              </w:rPr>
              <w:t xml:space="preserve">Filtro da CAP</w:t>
            </w:r>
          </w:p>
        </w:tc>
        <w:tc>
          <w:tcPr/>
          <w:p>
            <w:pPr>
              <w:pStyle w:val="Compact"/>
              <w:keepNext/>
              <w:spacing w:after="0" w:before="0"/>
              <w:jc w:val="left"/>
            </w:pPr>
            <w:r>
              <w:rPr>
                <w:sz w:val="20"/>
              </w:rPr>
              <w:t xml:space="preserve">expirados × inabilitados</w:t>
            </w:r>
          </w:p>
        </w:tc>
        <w:tc>
          <w:tcPr/>
          <w:p>
            <w:pPr>
              <w:pStyle w:val="Compact"/>
              <w:keepNext/>
              <w:spacing w:after="0" w:before="0"/>
              <w:jc w:val="left"/>
            </w:pPr>
            <w:r>
              <w:rPr>
                <w:sz w:val="20"/>
              </w:rPr>
              <w:t xml:space="preserve">95 × 86</w:t>
            </w:r>
          </w:p>
        </w:tc>
        <w:tc>
          <w:tcPr/>
          <w:p>
            <w:pPr>
              <w:pStyle w:val="Compact"/>
              <w:keepNext/>
              <w:spacing w:after="0" w:before="0"/>
              <w:jc w:val="left"/>
            </w:pPr>
            <w:r>
              <w:rPr>
                <w:sz w:val="20"/>
              </w:rPr>
              <w:t xml:space="preserve">19 a 21</w:t>
            </w:r>
          </w:p>
        </w:tc>
      </w:tr>
      <w:tr>
        <w:tc>
          <w:tcPr/>
          <w:p>
            <w:pPr>
              <w:pStyle w:val="Compact"/>
              <w:keepNext/>
              <w:spacing w:after="0" w:before="0"/>
              <w:jc w:val="left"/>
            </w:pPr>
            <w:r>
              <w:rPr>
                <w:sz w:val="20"/>
              </w:rPr>
              <w:t xml:space="preserve">EMPT na margem</w:t>
            </w:r>
          </w:p>
        </w:tc>
        <w:tc>
          <w:tcPr/>
          <w:p>
            <w:pPr>
              <w:pStyle w:val="Compact"/>
              <w:keepNext/>
              <w:spacing w:after="0" w:before="0"/>
              <w:jc w:val="left"/>
            </w:pPr>
            <w:r>
              <w:rPr>
                <w:sz w:val="20"/>
              </w:rPr>
              <w:t xml:space="preserve">últimos validados × recusados</w:t>
            </w:r>
          </w:p>
        </w:tc>
        <w:tc>
          <w:tcPr/>
          <w:p>
            <w:pPr>
              <w:pStyle w:val="Compact"/>
              <w:keepNext/>
              <w:spacing w:after="0" w:before="0"/>
              <w:jc w:val="left"/>
            </w:pPr>
            <w:r>
              <w:rPr>
                <w:sz w:val="20"/>
              </w:rPr>
              <w:t xml:space="preserve">32 × 32</w:t>
            </w:r>
          </w:p>
        </w:tc>
        <w:tc>
          <w:tcPr/>
          <w:p>
            <w:pPr>
              <w:pStyle w:val="Compact"/>
              <w:keepNext/>
              <w:spacing w:after="0" w:before="0"/>
              <w:jc w:val="left"/>
            </w:pPr>
            <w:r>
              <w:rPr>
                <w:sz w:val="20"/>
              </w:rPr>
              <w:t xml:space="preserve">32 a 35</w:t>
            </w:r>
          </w:p>
        </w:tc>
      </w:tr>
      <w:tr>
        <w:tc>
          <w:tcPr/>
          <w:p>
            <w:pPr>
              <w:pStyle w:val="Compact"/>
              <w:keepNext/>
              <w:spacing w:after="0" w:before="0"/>
              <w:jc w:val="left"/>
            </w:pPr>
            <w:r>
              <w:rPr>
                <w:sz w:val="20"/>
              </w:rPr>
              <w:t xml:space="preserve">Ampliação do teto em 2024</w:t>
            </w:r>
          </w:p>
        </w:tc>
        <w:tc>
          <w:tcPr/>
          <w:p>
            <w:pPr>
              <w:pStyle w:val="Compact"/>
              <w:keepNext/>
              <w:spacing w:after="0" w:before="0"/>
              <w:jc w:val="left"/>
            </w:pPr>
            <w:r>
              <w:rPr>
                <w:sz w:val="20"/>
              </w:rPr>
              <w:t xml:space="preserve">recusas convertidas × mantidas</w:t>
            </w:r>
          </w:p>
        </w:tc>
        <w:tc>
          <w:tcPr/>
          <w:p>
            <w:pPr>
              <w:pStyle w:val="Compact"/>
              <w:keepNext/>
              <w:spacing w:after="0" w:before="0"/>
              <w:jc w:val="left"/>
            </w:pPr>
            <w:r>
              <w:rPr>
                <w:sz w:val="20"/>
              </w:rPr>
              <w:t xml:space="preserve">27 × 20</w:t>
            </w:r>
          </w:p>
        </w:tc>
        <w:tc>
          <w:tcPr/>
          <w:p>
            <w:pPr>
              <w:pStyle w:val="Compact"/>
              <w:keepNext/>
              <w:spacing w:after="0" w:before="0"/>
              <w:jc w:val="left"/>
            </w:pPr>
            <w:r>
              <w:rPr>
                <w:sz w:val="20"/>
              </w:rPr>
              <w:t xml:space="preserve">38 a 41</w:t>
            </w:r>
          </w:p>
        </w:tc>
      </w:tr>
      <w:tr>
        <w:tc>
          <w:tcPr/>
          <w:p>
            <w:pPr>
              <w:pStyle w:val="Compact"/>
              <w:spacing w:after="0" w:before="0"/>
              <w:jc w:val="left"/>
            </w:pPr>
            <w:r>
              <w:rPr>
                <w:i/>
                <w:iCs/>
                <w:sz w:val="20"/>
              </w:rPr>
              <w:t xml:space="preserve">V</w:t>
            </w:r>
            <w:r>
              <w:rPr>
                <w:sz w:val="20"/>
              </w:rPr>
              <w:t xml:space="preserve">, com mais quatro ciclos</w:t>
            </w:r>
          </w:p>
        </w:tc>
        <w:tc>
          <w:tcPr/>
          <w:p>
            <w:pPr>
              <w:pStyle w:val="Compact"/>
              <w:spacing w:after="0" w:before="0"/>
              <w:jc w:val="left"/>
            </w:pPr>
            <w:r>
              <w:rPr>
                <w:sz w:val="20"/>
              </w:rPr>
              <w:t xml:space="preserve">recusados × expirados acumulados</w:t>
            </w:r>
          </w:p>
        </w:tc>
        <w:tc>
          <w:tcPr/>
          <w:p>
            <w:pPr>
              <w:pStyle w:val="Compact"/>
              <w:spacing w:after="0" w:before="0"/>
              <w:jc w:val="left"/>
            </w:pPr>
            <w:r>
              <w:rPr>
                <w:sz w:val="20"/>
              </w:rPr>
              <w:t xml:space="preserve">96 × 222</w:t>
            </w:r>
          </w:p>
        </w:tc>
        <w:tc>
          <w:tcPr/>
          <w:p>
            <w:pPr>
              <w:pStyle w:val="Compact"/>
              <w:spacing w:after="0" w:before="0"/>
              <w:jc w:val="left"/>
            </w:pPr>
            <w:r>
              <w:rPr>
                <w:sz w:val="20"/>
              </w:rPr>
              <w:t xml:space="preserve">16 a 17</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analise/tabelas/23_poder_secao5.csv</w:t>
        </w:r>
      </w:hyperlink>
      <w:r>
        <w:rPr>
          <w:sz w:val="20"/>
        </w:rPr>
        <w:t xml:space="preserve">.</w:t>
      </w:r>
    </w:p>
    <w:p>
      <w:pPr>
        <w:pStyle w:val="BodyText"/>
      </w:pPr>
      <w:r>
        <w:t xml:space="preserve">Com os dados de hoje, o contraste principal só detecta diferenças de 26 a 29 pontos: basta para rejeitar a ausência de seleção se ela for forte, como sugere a queda da captação dos pedidos pequenos, mas não para medir seu tamanho. Com mais quatro ciclos no ritmo de 2022-2024, o EMD cai para 16 a 17 pontos. Comparar recusados pequenos e grandes continua exploratório: com mais quatro ciclos, detecta só 28 a 30 pontos. Com poder baixo, uma estimativa</w:t>
      </w:r>
      <w:r>
        <w:t xml:space="preserve"> </w:t>
      </w:r>
      <w:r>
        <w:t xml:space="preserve">“significativa”</w:t>
      </w:r>
      <w:r>
        <w:t xml:space="preserve"> </w:t>
      </w:r>
      <w:r>
        <w:t xml:space="preserve">tende a exagerar o efeito verdadeiro (GELMAN; CARLIN, 2014), o que recomenda pré-registrar a análise.</w:t>
      </w:r>
    </w:p>
    <w:bookmarkEnd w:id="29"/>
    <w:bookmarkStart w:id="30" w:name="ameaças-à-validade-e-ética"/>
    <w:p>
      <w:pPr>
        <w:pStyle w:val="Heading2"/>
      </w:pPr>
      <w:r>
        <w:t xml:space="preserve">5.5 Ameaças à validade e ética</w:t>
      </w:r>
    </w:p>
    <w:p>
      <w:pPr>
        <w:pStyle w:val="FirstParagraph"/>
      </w:pPr>
      <w:r>
        <w:t xml:space="preserve">A suposição central falha se os proponentes mais organizados, que também realizam mais, protocolam primeiro: os recusados seriam piores que a média dos escolhidos, e</w:t>
      </w:r>
      <w:r>
        <w:t xml:space="preserve"> </w:t>
      </w:r>
      <w:r>
        <w:rPr>
          <w:i/>
          <w:iCs/>
        </w:rPr>
        <w:t xml:space="preserve">V</w:t>
      </w:r>
      <w:r>
        <w:t xml:space="preserve"> </w:t>
      </w:r>
      <w:r>
        <w:t xml:space="preserve">ficaria subestimado; as horas de protocolo permitem testá-la.</w:t>
      </w:r>
      <w:r>
        <w:t xml:space="preserve"> </w:t>
      </w:r>
      <w:r>
        <w:rPr>
          <w:i/>
          <w:iCs/>
        </w:rPr>
        <w:t xml:space="preserve">V</w:t>
      </w:r>
      <w:r>
        <w:t xml:space="preserve"> </w:t>
      </w:r>
      <w:r>
        <w:t xml:space="preserve">e o efeito na margem valem para os escolhidos na margem da fila, e não para todos. Seguem-se o atrito da pesquisa, que pode ser maior entre expirados e inabilitados que desistiram e que os registros independentes limitam; a troca de fonte, porque a realização com recurso da Lei Rouanet ou de editais é medida à parte; e a interferência pelo teto fixo (SUTVA), porque o que um projeto capta falta a outro. A validade externa se restringe ao regime de 2022-2024, em que a habilitação precedia a busca por patrocinador: desde 2025 os expirados quase desapareceram (3 em 56 resolvidos no ciclo 2025), e</w:t>
      </w:r>
      <w:r>
        <w:t xml:space="preserve"> </w:t>
      </w:r>
      <m:oMath>
        <m:sSub>
          <m:e>
            <m:r>
              <m:t>θ</m:t>
            </m:r>
          </m:e>
          <m:sub>
            <m:r>
              <m:t>0</m:t>
            </m:r>
          </m:sub>
        </m:sSub>
      </m:oMath>
      <w:r>
        <w:t xml:space="preserve"> </w:t>
      </w:r>
      <w:r>
        <w:t xml:space="preserve">passa a depender dos inscritos sem patrocinador, que só a LAI identifica. No plano ético, a avaliação não nega nem adia acesso a ninguém, porque só acompanha grupos que a regra já produz. Dados identificados exigem anonimização (LGPD), e pesquisas com pessoas, aprovação de comitê de ética.</w:t>
      </w:r>
    </w:p>
    <w:bookmarkEnd w:id="30"/>
    <w:bookmarkEnd w:id="31"/>
    <w:bookmarkStart w:id="32" w:name="conclusão"/>
    <w:p>
      <w:pPr>
        <w:pStyle w:val="Heading1"/>
      </w:pPr>
      <w:r>
        <w:t xml:space="preserve">6 Conclusão</w:t>
      </w:r>
    </w:p>
    <w:p>
      <w:pPr>
        <w:pStyle w:val="FirstParagraph"/>
      </w:pPr>
      <w:r>
        <w:t xml:space="preserve">A LICC é um gasto tributário que mais que dobrou de 2023 a 2026, sem problema declarado nem objetivos mensuráveis, e a avaliação contratada mede o efeito do gasto sobre a economia, e não o que ele acrescenta: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BodyText"/>
      </w:pPr>
      <w:r>
        <w:t xml:space="preserve">A pergunta de impacto é se a renúncia vai para os projetos que dependem dela. Os grupos para respondê-la já existem pela regra atual, recusados por esgotamento da cota, habilitados sem patrocinador e inabilitados, e falta medir do mesmo modo, em todos, se os projetos se realizaram. Mais da metade dos recusados por falta de teto captou no ano seguinte, e a captação dos pedidos pequenos caiu a cada ciclo: se a seleção do mecanismo for positiva e maior nos pedidos grandes, ampliar o teto financia sobretudo o que ocorreria de todo modo, e as decisões que importam passam a ser quem entra e o que se entrega.</w:t>
      </w:r>
    </w:p>
    <w:bookmarkEnd w:id="32"/>
    <w:bookmarkStart w:id="46" w:name="referências"/>
    <w:p>
      <w:pPr>
        <w:pStyle w:val="Heading1"/>
      </w:pPr>
      <w:r>
        <w:t xml:space="preserve">Referências</w:t>
      </w:r>
    </w:p>
    <w:p>
      <w:pPr>
        <w:pStyle w:val="FirstParagraph"/>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33">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34">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35">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36">
        <w:r>
          <w:rPr>
            <w:rStyle w:val="Hyperlink"/>
          </w:rPr>
          <w:t xml:space="preserve">10.1332/251569119X15675896589688</w:t>
        </w:r>
      </w:hyperlink>
      <w:r>
        <w:t xml:space="preserve">.</w:t>
      </w:r>
    </w:p>
    <w:p>
      <w:pPr>
        <w:pStyle w:val="BodyText"/>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37">
        <w:r>
          <w:rPr>
            <w:rStyle w:val="Hyperlink"/>
          </w:rPr>
          <w:t xml:space="preserve">10.1080/19439342.2016.1244555</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2026a. Disponível em: https://transparencia.es.gov.br/comum/incentivosfiscais. Acesso em: 27 set. 2026.</w:t>
      </w:r>
    </w:p>
    <w:p>
      <w:pPr>
        <w:pStyle w:val="BodyText"/>
      </w:pPr>
      <w:r>
        <w:t xml:space="preserve">ESPÍRITO SANTO (Estado). Secretaria de Estado de Economia e Planejamento.</w:t>
      </w:r>
      <w:r>
        <w:t xml:space="preserve"> </w:t>
      </w:r>
      <w:r>
        <w:rPr>
          <w:b/>
          <w:bCs/>
        </w:rPr>
        <w:t xml:space="preserve">Relatório de avaliação 2025</w:t>
      </w:r>
      <w:r>
        <w:t xml:space="preserve">: Plano Plurianual 2024-2027, exercício de 2025. Vitória: SEP, 2026b. Disponível em: https://planejamento.es.gov.br/media/Planejamento/PPA_2024_2027/RelatoriosAvaliacaoALES/relatorio_ales_oficial_2025-versao-final.pdf. Acesso em: 28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38">
        <w:r>
          <w:rPr>
            <w:rStyle w:val="Hyperlink"/>
          </w:rPr>
          <w:t xml:space="preserve">10.1093/qje/qjz013</w:t>
        </w:r>
      </w:hyperlink>
      <w:r>
        <w:t xml:space="preserve">.</w:t>
      </w:r>
    </w:p>
    <w:p>
      <w:pPr>
        <w:pStyle w:val="BodyText"/>
      </w:pPr>
      <w:r>
        <w:t xml:space="preserve">FOGUEL, Miguel Nathan. Modelo de resultados potenciais.</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39-54.</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39">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IJSN – INSTITUTO JONES DOS SANTOS NEVES.</w:t>
      </w:r>
      <w:r>
        <w:t xml:space="preserve"> </w:t>
      </w:r>
      <w:r>
        <w:rPr>
          <w:b/>
          <w:bCs/>
        </w:rPr>
        <w:t xml:space="preserve">Secult e IJSN divulgam estudo sobre impactos das políticas culturais capixabas durante o evento Cultura em Dados</w:t>
      </w:r>
      <w:r>
        <w:t xml:space="preserve">. Vitória: IJSN, 2026. Notícia. Disponível em: https://ijsn.es.gov.br/Contents/Item/Display/17195. Acesso em: 28 set. 2026.</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40">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41">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42">
        <w:r>
          <w:rPr>
            <w:rStyle w:val="Hyperlink"/>
          </w:rPr>
          <w:t xml:space="preserve">10.1023/A:1007653328733</w:t>
        </w:r>
      </w:hyperlink>
      <w:r>
        <w:t xml:space="preserve">.</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43">
        <w:r>
          <w:rPr>
            <w:rStyle w:val="Hyperlink"/>
          </w:rPr>
          <w:t xml:space="preserve">10.20435/inter.v22i2.2965</w:t>
        </w:r>
      </w:hyperlink>
      <w:r>
        <w:t xml:space="preserve">.</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44">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45">
        <w:r>
          <w:rPr>
            <w:rStyle w:val="Hyperlink"/>
          </w:rPr>
          <w:t xml:space="preserve">10.1093/wbro/lky010</w:t>
        </w:r>
      </w:hyperlink>
      <w:r>
        <w:t xml:space="preserve">.</w:t>
      </w:r>
    </w:p>
    <w:bookmarkEnd w:id="46"/>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2026a), dos quais R$ 11,5 milhões foram validados.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42" Type="http://schemas.openxmlformats.org/officeDocument/2006/relationships/hyperlink" Target="https://doi.org/10.1023/A:1007653328733" TargetMode="External"/><Relationship Id="rId37" Type="http://schemas.openxmlformats.org/officeDocument/2006/relationships/hyperlink" Target="https://doi.org/10.1080/19439342.2016.1244555" TargetMode="External"/><Relationship Id="rId41" Type="http://schemas.openxmlformats.org/officeDocument/2006/relationships/hyperlink" Target="https://doi.org/10.1093/jopart/muu009" TargetMode="External"/><Relationship Id="rId38" Type="http://schemas.openxmlformats.org/officeDocument/2006/relationships/hyperlink" Target="https://doi.org/10.1093/qje/qjz013" TargetMode="External"/><Relationship Id="rId45" Type="http://schemas.openxmlformats.org/officeDocument/2006/relationships/hyperlink" Target="https://doi.org/10.1093/wbro/lky010" TargetMode="External"/><Relationship Id="rId39" Type="http://schemas.openxmlformats.org/officeDocument/2006/relationships/hyperlink" Target="https://doi.org/10.1177/1745691614551642" TargetMode="External"/><Relationship Id="rId33" Type="http://schemas.openxmlformats.org/officeDocument/2006/relationships/hyperlink" Target="https://doi.org/10.1257/aer.20180615" TargetMode="External"/><Relationship Id="rId34" Type="http://schemas.openxmlformats.org/officeDocument/2006/relationships/hyperlink" Target="https://doi.org/10.1287/mnsc.2019.3337" TargetMode="External"/><Relationship Id="rId36" Type="http://schemas.openxmlformats.org/officeDocument/2006/relationships/hyperlink" Target="https://doi.org/10.1332/251569119X15675896589688" TargetMode="External"/><Relationship Id="rId35" Type="http://schemas.openxmlformats.org/officeDocument/2006/relationships/hyperlink" Target="https://doi.org/10.1590/0034-7612162254" TargetMode="External"/><Relationship Id="rId43" Type="http://schemas.openxmlformats.org/officeDocument/2006/relationships/hyperlink" Target="https://doi.org/10.20435/inter.v22i2.2965" TargetMode="External"/><Relationship Id="rId44" Type="http://schemas.openxmlformats.org/officeDocument/2006/relationships/hyperlink" Target="https://doi.org/10.22617/TCS179188-2" TargetMode="External"/><Relationship Id="rId40"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8" Type="http://schemas.openxmlformats.org/officeDocument/2006/relationships/hyperlink" Target="https://github.com/fcarva/aval-pol/blob/main/analise/tabelas/23_poder_secao5.csv" TargetMode="External"/><Relationship Id="rId19"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doi.org/10.1023/A:1007653328733" TargetMode="External"/><Relationship Id="rId37" Type="http://schemas.openxmlformats.org/officeDocument/2006/relationships/hyperlink" Target="https://doi.org/10.1080/19439342.2016.1244555" TargetMode="External"/><Relationship Id="rId41" Type="http://schemas.openxmlformats.org/officeDocument/2006/relationships/hyperlink" Target="https://doi.org/10.1093/jopart/muu009" TargetMode="External"/><Relationship Id="rId38" Type="http://schemas.openxmlformats.org/officeDocument/2006/relationships/hyperlink" Target="https://doi.org/10.1093/qje/qjz013" TargetMode="External"/><Relationship Id="rId45" Type="http://schemas.openxmlformats.org/officeDocument/2006/relationships/hyperlink" Target="https://doi.org/10.1093/wbro/lky010" TargetMode="External"/><Relationship Id="rId39" Type="http://schemas.openxmlformats.org/officeDocument/2006/relationships/hyperlink" Target="https://doi.org/10.1177/1745691614551642" TargetMode="External"/><Relationship Id="rId33" Type="http://schemas.openxmlformats.org/officeDocument/2006/relationships/hyperlink" Target="https://doi.org/10.1257/aer.20180615" TargetMode="External"/><Relationship Id="rId34" Type="http://schemas.openxmlformats.org/officeDocument/2006/relationships/hyperlink" Target="https://doi.org/10.1287/mnsc.2019.3337" TargetMode="External"/><Relationship Id="rId36" Type="http://schemas.openxmlformats.org/officeDocument/2006/relationships/hyperlink" Target="https://doi.org/10.1332/251569119X15675896589688" TargetMode="External"/><Relationship Id="rId35" Type="http://schemas.openxmlformats.org/officeDocument/2006/relationships/hyperlink" Target="https://doi.org/10.1590/0034-7612162254" TargetMode="External"/><Relationship Id="rId43" Type="http://schemas.openxmlformats.org/officeDocument/2006/relationships/hyperlink" Target="https://doi.org/10.20435/inter.v22i2.2965" TargetMode="External"/><Relationship Id="rId44" Type="http://schemas.openxmlformats.org/officeDocument/2006/relationships/hyperlink" Target="https://doi.org/10.22617/TCS179188-2" TargetMode="External"/><Relationship Id="rId40"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8" Type="http://schemas.openxmlformats.org/officeDocument/2006/relationships/hyperlink" Target="https://github.com/fcarva/aval-pol/blob/main/analise/tabelas/23_poder_secao5.csv" TargetMode="External"/><Relationship Id="rId19"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desenho da Lei de Incentivo à Cultura Capixaba e proposta de avaliação de impacto</dc:title>
  <dc:creator>Felipe Carvalho Souza Santos</dc:creator>
  <dc:language>pt-BR</dc:language>
  <cp:keywords/>
  <dcterms:created xsi:type="dcterms:W3CDTF">2026-09-28T05:45:26Z</dcterms:created>
  <dcterms:modified xsi:type="dcterms:W3CDTF">2026-09-28T05:45:26Z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